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4E" w:rsidRPr="008A08C4" w:rsidRDefault="00F2327E" w:rsidP="00F9244E">
      <w:pPr>
        <w:jc w:val="both"/>
        <w:rPr>
          <w:color w:val="FF0000"/>
        </w:rPr>
      </w:pPr>
      <w:r w:rsidRPr="008A08C4">
        <w:t>Информация по проведенному контрольному мероприятию</w:t>
      </w:r>
      <w:r w:rsidRPr="008A08C4">
        <w:rPr>
          <w:b/>
        </w:rPr>
        <w:t xml:space="preserve"> </w:t>
      </w:r>
      <w:r w:rsidR="008A08C4" w:rsidRPr="008A08C4">
        <w:t>«П</w:t>
      </w:r>
      <w:r w:rsidR="008A08C4" w:rsidRPr="008A08C4">
        <w:rPr>
          <w:bCs/>
        </w:rPr>
        <w:t xml:space="preserve">роверка финансово-хозяйственной деятельности </w:t>
      </w:r>
      <w:r w:rsidR="008A08C4" w:rsidRPr="008A08C4">
        <w:t>МУК ЧМР «</w:t>
      </w:r>
      <w:proofErr w:type="spellStart"/>
      <w:r w:rsidR="008A08C4" w:rsidRPr="008A08C4">
        <w:t>Межпоселенческий</w:t>
      </w:r>
      <w:proofErr w:type="spellEnd"/>
      <w:r w:rsidR="008A08C4" w:rsidRPr="008A08C4">
        <w:t xml:space="preserve"> центральный дом культуры»  </w:t>
      </w:r>
      <w:r w:rsidR="008A08C4" w:rsidRPr="008A08C4">
        <w:rPr>
          <w:bCs/>
        </w:rPr>
        <w:t>за 2022 год</w:t>
      </w:r>
      <w:r w:rsidR="008A08C4" w:rsidRPr="008A08C4">
        <w:t>».</w:t>
      </w:r>
    </w:p>
    <w:p w:rsidR="00455BF0" w:rsidRPr="003E6E4F" w:rsidRDefault="00455BF0" w:rsidP="00455BF0">
      <w:pPr>
        <w:jc w:val="both"/>
        <w:rPr>
          <w:b/>
        </w:rPr>
      </w:pPr>
      <w:r w:rsidRPr="003E6E4F">
        <w:rPr>
          <w:b/>
          <w:color w:val="FF0000"/>
        </w:rPr>
        <w:t xml:space="preserve">       </w:t>
      </w:r>
    </w:p>
    <w:p w:rsidR="008A08C4" w:rsidRPr="008A08C4" w:rsidRDefault="008A08C4" w:rsidP="008A08C4">
      <w:pPr>
        <w:ind w:firstLine="708"/>
        <w:jc w:val="both"/>
        <w:rPr>
          <w:b/>
        </w:rPr>
      </w:pPr>
      <w:r w:rsidRPr="008A08C4">
        <w:t xml:space="preserve">Общий объем проверенных средств и стоимости имущества (выборочно) составил 30 581,0 тыс. рублей. По результатам проверки  установлены нарушения на общую сумму 246,5 тыс. руб. и недостатки: </w:t>
      </w:r>
    </w:p>
    <w:p w:rsidR="008A08C4" w:rsidRPr="008A08C4" w:rsidRDefault="008A08C4" w:rsidP="008A08C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A08C4">
        <w:t xml:space="preserve">        1. Н</w:t>
      </w:r>
      <w:r w:rsidRPr="008A08C4">
        <w:rPr>
          <w:rFonts w:eastAsiaTheme="minorHAnsi"/>
          <w:lang w:eastAsia="en-US"/>
        </w:rPr>
        <w:t>арушения при формировании и исполнении бюджета  на сумму 246,5 тыс. рублей:</w:t>
      </w:r>
    </w:p>
    <w:p w:rsidR="008A08C4" w:rsidRPr="008A08C4" w:rsidRDefault="008A08C4" w:rsidP="008A08C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A08C4">
        <w:rPr>
          <w:rFonts w:eastAsiaTheme="minorHAnsi"/>
          <w:lang w:eastAsia="en-US"/>
        </w:rPr>
        <w:t>1.1.</w:t>
      </w:r>
      <w:r w:rsidRPr="008A08C4">
        <w:rPr>
          <w:rFonts w:eastAsiaTheme="minorHAnsi"/>
          <w:bCs/>
          <w:lang w:eastAsia="en-US"/>
        </w:rPr>
        <w:t xml:space="preserve">  </w:t>
      </w:r>
      <w:proofErr w:type="gramStart"/>
      <w:r w:rsidRPr="008A08C4">
        <w:rPr>
          <w:rFonts w:eastAsiaTheme="minorHAnsi"/>
          <w:bCs/>
          <w:lang w:eastAsia="en-US"/>
        </w:rPr>
        <w:t xml:space="preserve">В нарушение </w:t>
      </w:r>
      <w:hyperlink r:id="rId5" w:history="1">
        <w:r w:rsidRPr="008A08C4">
          <w:rPr>
            <w:rStyle w:val="aa"/>
            <w:rFonts w:eastAsiaTheme="minorHAnsi"/>
            <w:bCs/>
            <w:color w:val="auto"/>
            <w:u w:val="none"/>
            <w:lang w:eastAsia="en-US"/>
          </w:rPr>
          <w:t>подпункта 9 пункта 3.3</w:t>
        </w:r>
      </w:hyperlink>
      <w:r w:rsidRPr="008A08C4">
        <w:rPr>
          <w:rFonts w:eastAsiaTheme="minorHAnsi"/>
          <w:bCs/>
          <w:lang w:eastAsia="en-US"/>
        </w:rPr>
        <w:t xml:space="preserve"> и </w:t>
      </w:r>
      <w:hyperlink r:id="rId6" w:history="1">
        <w:r w:rsidRPr="008A08C4">
          <w:rPr>
            <w:rStyle w:val="aa"/>
            <w:rFonts w:eastAsiaTheme="minorHAnsi"/>
            <w:bCs/>
            <w:color w:val="auto"/>
            <w:u w:val="none"/>
            <w:lang w:eastAsia="en-US"/>
          </w:rPr>
          <w:t>пункта 3.5 статьи 32</w:t>
        </w:r>
      </w:hyperlink>
      <w:r w:rsidRPr="008A08C4">
        <w:rPr>
          <w:rFonts w:eastAsiaTheme="minorHAnsi"/>
          <w:bCs/>
          <w:lang w:eastAsia="en-US"/>
        </w:rPr>
        <w:t xml:space="preserve"> Федерального закона от 12.01.1996 № 7-ФЗ «О некоммерческих организациях», пункта 8 </w:t>
      </w:r>
      <w:r w:rsidRPr="008A08C4">
        <w:t>Положения о формировании муниципального задания,</w:t>
      </w:r>
      <w:r w:rsidRPr="008A08C4">
        <w:rPr>
          <w:rFonts w:eastAsiaTheme="minorHAnsi"/>
          <w:bCs/>
          <w:lang w:eastAsia="en-US"/>
        </w:rPr>
        <w:t xml:space="preserve"> а также </w:t>
      </w:r>
      <w:hyperlink r:id="rId7" w:history="1">
        <w:r w:rsidRPr="008A08C4">
          <w:rPr>
            <w:rStyle w:val="aa"/>
            <w:rFonts w:eastAsiaTheme="minorHAnsi"/>
            <w:bCs/>
            <w:color w:val="auto"/>
            <w:u w:val="none"/>
            <w:lang w:eastAsia="en-US"/>
          </w:rPr>
          <w:t>пункта 15</w:t>
        </w:r>
      </w:hyperlink>
      <w:r w:rsidRPr="008A08C4">
        <w:rPr>
          <w:rFonts w:eastAsiaTheme="minorHAnsi"/>
          <w:bCs/>
          <w:lang w:eastAsia="en-US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№ 86н, муниципальное задание № 2</w:t>
      </w:r>
      <w:proofErr w:type="gramEnd"/>
      <w:r w:rsidRPr="008A08C4">
        <w:rPr>
          <w:rFonts w:eastAsiaTheme="minorHAnsi"/>
          <w:bCs/>
          <w:lang w:eastAsia="en-US"/>
        </w:rPr>
        <w:t xml:space="preserve"> </w:t>
      </w:r>
      <w:proofErr w:type="gramStart"/>
      <w:r w:rsidRPr="008A08C4">
        <w:rPr>
          <w:rFonts w:eastAsiaTheme="minorHAnsi"/>
          <w:bCs/>
          <w:lang w:eastAsia="en-US"/>
        </w:rPr>
        <w:t xml:space="preserve">от 25.12.2022 и отчет о выполнении муниципального задания за 2022 год размещены на официальном сайте </w:t>
      </w:r>
      <w:proofErr w:type="spellStart"/>
      <w:r w:rsidRPr="008A08C4">
        <w:rPr>
          <w:rFonts w:eastAsiaTheme="minorHAnsi"/>
          <w:lang w:eastAsia="en-US"/>
        </w:rPr>
        <w:t>bus.gov.ru</w:t>
      </w:r>
      <w:proofErr w:type="spellEnd"/>
      <w:r w:rsidRPr="008A08C4">
        <w:rPr>
          <w:rFonts w:eastAsiaTheme="minorHAnsi"/>
          <w:bCs/>
          <w:lang w:eastAsia="en-US"/>
        </w:rPr>
        <w:t xml:space="preserve">  только 27.02.2023 года, что позже установленного срока (позднее 5 рабочих дней, </w:t>
      </w:r>
      <w:r w:rsidRPr="008A08C4">
        <w:t>после его утверждения),</w:t>
      </w:r>
      <w:r w:rsidRPr="008A08C4">
        <w:rPr>
          <w:bCs/>
          <w:iCs/>
        </w:rPr>
        <w:t xml:space="preserve"> что в соответствии с Классификатором  (к.1.2.96) классифицируется как</w:t>
      </w:r>
      <w:r w:rsidRPr="008A08C4">
        <w:t xml:space="preserve">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</w:t>
      </w:r>
      <w:proofErr w:type="gramEnd"/>
      <w:r w:rsidRPr="008A08C4">
        <w:t xml:space="preserve"> размещения на официальном сайте в информационно-телекоммуникационной сети «Интернет» или средствах массовой информации.</w:t>
      </w:r>
    </w:p>
    <w:p w:rsidR="008A08C4" w:rsidRPr="008A08C4" w:rsidRDefault="008A08C4" w:rsidP="008A08C4">
      <w:pPr>
        <w:autoSpaceDE w:val="0"/>
        <w:autoSpaceDN w:val="0"/>
        <w:adjustRightInd w:val="0"/>
        <w:jc w:val="both"/>
      </w:pPr>
      <w:r w:rsidRPr="008A08C4">
        <w:rPr>
          <w:rFonts w:eastAsiaTheme="minorHAnsi"/>
          <w:lang w:eastAsia="en-US"/>
        </w:rPr>
        <w:t xml:space="preserve">  </w:t>
      </w:r>
      <w:r w:rsidRPr="008A08C4">
        <w:rPr>
          <w:rFonts w:eastAsiaTheme="minorHAnsi"/>
          <w:lang w:eastAsia="en-US"/>
        </w:rPr>
        <w:tab/>
        <w:t>1.2.</w:t>
      </w:r>
      <w:r w:rsidRPr="008A08C4">
        <w:t xml:space="preserve"> </w:t>
      </w:r>
      <w:proofErr w:type="gramStart"/>
      <w:r w:rsidRPr="008A08C4">
        <w:rPr>
          <w:rFonts w:eastAsiaTheme="minorHAnsi"/>
          <w:lang w:eastAsia="en-US"/>
        </w:rPr>
        <w:t xml:space="preserve">Учредителем в  нарушение статьи 69.2 БК РФ, </w:t>
      </w:r>
      <w:r w:rsidRPr="008A08C4">
        <w:rPr>
          <w:rFonts w:eastAsiaTheme="minorHAnsi"/>
          <w:bCs/>
          <w:lang w:eastAsia="en-US"/>
        </w:rPr>
        <w:t>статьи 9.2 Федерального закона от 12.01.1996 № 7-ФЗ «О некоммерческих организациях», пункта 35</w:t>
      </w:r>
      <w:r w:rsidRPr="008A08C4">
        <w:t xml:space="preserve"> Положения о формировании муниципального задания, дополнительным соглашением </w:t>
      </w:r>
      <w:r w:rsidRPr="008A08C4">
        <w:rPr>
          <w:rFonts w:eastAsiaTheme="minorHAnsi"/>
          <w:lang w:eastAsia="en-US"/>
        </w:rPr>
        <w:t>№3 от 11.11.2022 уменьшен объем  субсидии на финансовое обеспечение  выполнения муниципального задания на</w:t>
      </w:r>
      <w:r w:rsidRPr="008A08C4">
        <w:t xml:space="preserve"> 218,0 тыс. рублей, без изменения муниципального задания, что </w:t>
      </w:r>
      <w:r w:rsidRPr="008A08C4">
        <w:rPr>
          <w:rFonts w:eastAsiaTheme="minorHAnsi"/>
          <w:lang w:eastAsia="en-US"/>
        </w:rPr>
        <w:t xml:space="preserve">в соответствии </w:t>
      </w:r>
      <w:r w:rsidRPr="008A08C4">
        <w:rPr>
          <w:bCs/>
          <w:iCs/>
        </w:rPr>
        <w:t>с Классификатором  (к.1.2.47) классифицируется как</w:t>
      </w:r>
      <w:r w:rsidRPr="008A08C4">
        <w:t xml:space="preserve"> нарушение</w:t>
      </w:r>
      <w:r w:rsidRPr="008A08C4">
        <w:rPr>
          <w:rFonts w:eastAsiaTheme="minorHAnsi"/>
          <w:lang w:eastAsia="en-US"/>
        </w:rPr>
        <w:t xml:space="preserve"> порядка формирования и (или</w:t>
      </w:r>
      <w:proofErr w:type="gramEnd"/>
      <w:r w:rsidRPr="008A08C4">
        <w:rPr>
          <w:rFonts w:eastAsiaTheme="minorHAnsi"/>
          <w:lang w:eastAsia="en-US"/>
        </w:rPr>
        <w:t>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учреждениями.</w:t>
      </w:r>
      <w:r w:rsidRPr="008A08C4">
        <w:t xml:space="preserve">   </w:t>
      </w:r>
    </w:p>
    <w:p w:rsidR="008A08C4" w:rsidRPr="008A08C4" w:rsidRDefault="008A08C4" w:rsidP="008A08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08C4">
        <w:rPr>
          <w:rFonts w:eastAsiaTheme="minorHAnsi"/>
          <w:lang w:eastAsia="en-US"/>
        </w:rPr>
        <w:t>1.3. В</w:t>
      </w:r>
      <w:r w:rsidRPr="008A08C4">
        <w:rPr>
          <w:rFonts w:eastAsiaTheme="minorHAnsi"/>
          <w:bCs/>
          <w:lang w:eastAsia="en-US"/>
        </w:rPr>
        <w:t xml:space="preserve"> нарушение </w:t>
      </w:r>
      <w:hyperlink r:id="rId8" w:history="1">
        <w:r w:rsidRPr="008A08C4">
          <w:rPr>
            <w:rStyle w:val="aa"/>
            <w:rFonts w:eastAsiaTheme="minorHAnsi"/>
            <w:bCs/>
            <w:color w:val="auto"/>
            <w:u w:val="none"/>
            <w:lang w:eastAsia="en-US"/>
          </w:rPr>
          <w:t>подпункта 6 пункта 3.3</w:t>
        </w:r>
      </w:hyperlink>
      <w:r w:rsidRPr="008A08C4">
        <w:rPr>
          <w:rFonts w:eastAsiaTheme="minorHAnsi"/>
          <w:bCs/>
          <w:lang w:eastAsia="en-US"/>
        </w:rPr>
        <w:t xml:space="preserve">  статьи 32 Федерального закона от 12.01.1996 № 7-ФЗ «О некоммерческих организациях»,</w:t>
      </w:r>
      <w:r w:rsidRPr="008A08C4">
        <w:rPr>
          <w:rFonts w:eastAsiaTheme="minorHAnsi"/>
          <w:lang w:eastAsia="en-US"/>
        </w:rPr>
        <w:t xml:space="preserve"> приказа № 186н установлены нарушения порядка формирования плана финансово-хозяйственной деятельности Учреждения, что в соответствии </w:t>
      </w:r>
      <w:r w:rsidRPr="008A08C4">
        <w:rPr>
          <w:bCs/>
          <w:iCs/>
        </w:rPr>
        <w:t>с Классификатором  (к.1.2.110) классифицируется как</w:t>
      </w:r>
      <w:r w:rsidRPr="008A08C4">
        <w:t xml:space="preserve"> нарушение</w:t>
      </w:r>
      <w:r w:rsidRPr="008A08C4">
        <w:rPr>
          <w:rFonts w:eastAsiaTheme="minorHAnsi"/>
          <w:lang w:eastAsia="en-US"/>
        </w:rPr>
        <w:t xml:space="preserve"> порядка формирования и исполнения плана финансово-хозяйственной деятельности государственным (муниципальным) бюджетным (автономным) учреждением.</w:t>
      </w:r>
    </w:p>
    <w:p w:rsidR="008A08C4" w:rsidRPr="008A08C4" w:rsidRDefault="008A08C4" w:rsidP="008A08C4">
      <w:pPr>
        <w:autoSpaceDE w:val="0"/>
        <w:autoSpaceDN w:val="0"/>
        <w:adjustRightInd w:val="0"/>
        <w:ind w:firstLine="540"/>
        <w:jc w:val="both"/>
      </w:pPr>
      <w:r w:rsidRPr="008A08C4">
        <w:rPr>
          <w:rFonts w:eastAsiaTheme="minorHAnsi"/>
          <w:lang w:eastAsia="en-US"/>
        </w:rPr>
        <w:t xml:space="preserve">1.4. </w:t>
      </w:r>
      <w:proofErr w:type="gramStart"/>
      <w:r w:rsidRPr="008A08C4">
        <w:t>В нарушение Положения об оплате труда работников муниципального учреждения культуры Череповецкого муниципального района «</w:t>
      </w:r>
      <w:proofErr w:type="spellStart"/>
      <w:r w:rsidRPr="008A08C4">
        <w:t>Межпоселенческий</w:t>
      </w:r>
      <w:proofErr w:type="spellEnd"/>
      <w:r w:rsidRPr="008A08C4">
        <w:t xml:space="preserve"> центральный дом культуры», утвержденного приказом директора от 28.02.2022  №8-ОД, установлены нарушения</w:t>
      </w:r>
      <w:r w:rsidRPr="008A08C4">
        <w:rPr>
          <w:rFonts w:eastAsiaTheme="minorHAnsi"/>
          <w:lang w:eastAsia="en-US"/>
        </w:rPr>
        <w:t xml:space="preserve"> порядка и условий оплаты труда</w:t>
      </w:r>
      <w:r w:rsidRPr="008A08C4">
        <w:t xml:space="preserve"> на общую сумму  28,5 тыс. рублей, что в соответствии с Классификатором (к. 1.2.95) </w:t>
      </w:r>
      <w:r w:rsidRPr="008A08C4">
        <w:rPr>
          <w:bCs/>
          <w:iCs/>
        </w:rPr>
        <w:t>классифицируется как</w:t>
      </w:r>
      <w:r w:rsidRPr="008A08C4"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</w:t>
      </w:r>
      <w:proofErr w:type="gramEnd"/>
      <w:r w:rsidRPr="008A08C4">
        <w:t xml:space="preserve"> (</w:t>
      </w:r>
      <w:proofErr w:type="gramStart"/>
      <w:r w:rsidRPr="008A08C4">
        <w:t>муниципальных) бюджетных, автономных и казенных учреждений устранены в ходе контрольного мероприятия.</w:t>
      </w:r>
      <w:proofErr w:type="gramEnd"/>
    </w:p>
    <w:p w:rsidR="008A08C4" w:rsidRPr="008A08C4" w:rsidRDefault="008A08C4" w:rsidP="008A08C4">
      <w:pPr>
        <w:autoSpaceDE w:val="0"/>
        <w:autoSpaceDN w:val="0"/>
        <w:adjustRightInd w:val="0"/>
        <w:ind w:firstLine="540"/>
        <w:jc w:val="both"/>
      </w:pPr>
      <w:r w:rsidRPr="008A08C4">
        <w:t xml:space="preserve">  2. Нарушения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8A08C4" w:rsidRPr="008A08C4" w:rsidRDefault="008A08C4" w:rsidP="008A08C4">
      <w:pPr>
        <w:autoSpaceDE w:val="0"/>
        <w:autoSpaceDN w:val="0"/>
        <w:adjustRightInd w:val="0"/>
        <w:ind w:firstLine="540"/>
        <w:jc w:val="both"/>
      </w:pPr>
      <w:r w:rsidRPr="008A08C4">
        <w:t xml:space="preserve">2.1. В нарушение части 3 статьи 11 Федерального закона №402-ФЗ «О бухгалтерском учете», инвентаризация дебиторской и кредиторской задолженности расчетов с </w:t>
      </w:r>
      <w:r w:rsidRPr="008A08C4">
        <w:lastRenderedPageBreak/>
        <w:t>поставщиками и подрядчиками перед составлением годового отчета не проводилась, что в соответствии с Классификатором  (к. 2.4) классифицируется как нарушение требований, предъявляемых к проведению и документальному оформлению результатов инвентаризации активов и обязательств.</w:t>
      </w:r>
    </w:p>
    <w:p w:rsidR="008A08C4" w:rsidRPr="008A08C4" w:rsidRDefault="008A08C4" w:rsidP="008A08C4">
      <w:pPr>
        <w:autoSpaceDE w:val="0"/>
        <w:autoSpaceDN w:val="0"/>
        <w:adjustRightInd w:val="0"/>
        <w:ind w:firstLine="708"/>
        <w:jc w:val="both"/>
      </w:pPr>
      <w:r w:rsidRPr="008A08C4">
        <w:t>3. Нарушения в сфере управления и распоряжения государственной (муниципальной) собственностью:</w:t>
      </w:r>
    </w:p>
    <w:p w:rsidR="008A08C4" w:rsidRPr="008A08C4" w:rsidRDefault="008A08C4" w:rsidP="008A08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A08C4">
        <w:t xml:space="preserve">3.1. </w:t>
      </w:r>
      <w:proofErr w:type="gramStart"/>
      <w:r w:rsidRPr="008A08C4">
        <w:rPr>
          <w:rFonts w:eastAsiaTheme="minorHAnsi"/>
          <w:lang w:eastAsia="en-US"/>
        </w:rPr>
        <w:t xml:space="preserve">В нарушение требований </w:t>
      </w:r>
      <w:hyperlink r:id="rId9" w:history="1">
        <w:r w:rsidRPr="008A08C4">
          <w:rPr>
            <w:rFonts w:eastAsiaTheme="minorHAnsi"/>
            <w:lang w:eastAsia="en-US"/>
          </w:rPr>
          <w:t>пункта 5</w:t>
        </w:r>
      </w:hyperlink>
      <w:r w:rsidRPr="008A08C4">
        <w:rPr>
          <w:rFonts w:eastAsiaTheme="minorHAnsi"/>
          <w:lang w:eastAsia="en-US"/>
        </w:rPr>
        <w:t xml:space="preserve"> постановления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Учреждением не обеспечено внесение изменений в Перечень особо ценного движимого имущества,</w:t>
      </w:r>
      <w:r w:rsidRPr="008A08C4">
        <w:t xml:space="preserve"> что в соответствии  с Классификатором (к. 3.17) классифицируется, как </w:t>
      </w:r>
      <w:r w:rsidRPr="008A08C4">
        <w:rPr>
          <w:rFonts w:eastAsiaTheme="minorHAnsi"/>
          <w:lang w:eastAsia="en-US"/>
        </w:rPr>
        <w:t>Нарушение порядка отнесения имущества автономного или бюджетного учреждения к категории особо ценного движимого имущества</w:t>
      </w:r>
      <w:proofErr w:type="gramEnd"/>
      <w:r w:rsidRPr="008A08C4">
        <w:rPr>
          <w:rFonts w:eastAsiaTheme="minorHAnsi"/>
          <w:lang w:eastAsia="en-US"/>
        </w:rPr>
        <w:t>.</w:t>
      </w:r>
    </w:p>
    <w:p w:rsidR="008A08C4" w:rsidRPr="008A08C4" w:rsidRDefault="008A08C4" w:rsidP="008A08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A08C4">
        <w:t>4. Нарушения при осуществлении государственных (муниципальных) закупок и закупок отдельными видами юридических лиц</w:t>
      </w:r>
      <w:r w:rsidRPr="008A08C4">
        <w:rPr>
          <w:rFonts w:eastAsiaTheme="minorHAnsi"/>
          <w:lang w:eastAsia="en-US"/>
        </w:rPr>
        <w:t>:</w:t>
      </w:r>
    </w:p>
    <w:p w:rsidR="008A08C4" w:rsidRPr="008A08C4" w:rsidRDefault="008A08C4" w:rsidP="008A08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08C4">
        <w:t xml:space="preserve">     4.1. </w:t>
      </w:r>
      <w:proofErr w:type="gramStart"/>
      <w:r w:rsidRPr="008A08C4">
        <w:t xml:space="preserve">В нарушение </w:t>
      </w:r>
      <w:hyperlink r:id="rId10" w:history="1">
        <w:r w:rsidRPr="008A08C4">
          <w:rPr>
            <w:rStyle w:val="aa"/>
            <w:color w:val="auto"/>
            <w:u w:val="none"/>
          </w:rPr>
          <w:t>пункта 2 статьи 425</w:t>
        </w:r>
      </w:hyperlink>
      <w:r w:rsidRPr="008A08C4">
        <w:t xml:space="preserve"> Гражданского кодекса Российской Федерации, </w:t>
      </w:r>
      <w:hyperlink r:id="rId11" w:history="1">
        <w:r w:rsidRPr="008A08C4">
          <w:rPr>
            <w:rStyle w:val="aa"/>
            <w:color w:val="auto"/>
            <w:u w:val="none"/>
          </w:rPr>
          <w:t>пункта 3 статьи 3</w:t>
        </w:r>
      </w:hyperlink>
      <w:r w:rsidRPr="008A08C4">
        <w:t xml:space="preserve">, </w:t>
      </w:r>
      <w:hyperlink r:id="rId12" w:history="1">
        <w:r w:rsidRPr="008A08C4">
          <w:rPr>
            <w:rStyle w:val="aa"/>
            <w:color w:val="auto"/>
            <w:u w:val="none"/>
          </w:rPr>
          <w:t>части 1 статьи 94</w:t>
        </w:r>
      </w:hyperlink>
      <w:r w:rsidRPr="008A08C4">
        <w:t xml:space="preserve"> ФЗ № 44-ФЗ  заключены контракты (договора) с единственным поставщиком (по пяти поставщикам), которые содержат условие о распространении действия данных договоров на отношения сторон, возникшие до их подписания,  </w:t>
      </w:r>
      <w:r w:rsidRPr="008A08C4">
        <w:rPr>
          <w:bCs/>
          <w:iCs/>
        </w:rPr>
        <w:t>что в соответствии с классификатором (к.4.4) классифицируется как, н</w:t>
      </w:r>
      <w:r w:rsidRPr="008A08C4">
        <w:t>есоблюдение порядка заключения государственного или муниципального контракта</w:t>
      </w:r>
      <w:proofErr w:type="gramEnd"/>
      <w:r w:rsidRPr="008A08C4">
        <w:t xml:space="preserve"> (договора) на поставку товаров, выполнение работ, оказание услуг для государственных или муниципальных нужд.  </w:t>
      </w:r>
    </w:p>
    <w:p w:rsidR="00095AB3" w:rsidRDefault="00095AB3" w:rsidP="00095A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04135" w:rsidRPr="00E04135" w:rsidRDefault="00B82B5F" w:rsidP="00095AB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17EAD" w:rsidRPr="00E04135">
        <w:rPr>
          <w:rFonts w:eastAsiaTheme="minorHAnsi"/>
          <w:lang w:eastAsia="en-US"/>
        </w:rPr>
        <w:t xml:space="preserve"> По результатам контрольного мероприятия вынесено представление</w:t>
      </w:r>
      <w:r w:rsidR="00E04135" w:rsidRPr="00E04135">
        <w:rPr>
          <w:rFonts w:eastAsiaTheme="minorHAnsi"/>
          <w:lang w:eastAsia="en-US"/>
        </w:rPr>
        <w:t>, которое исполнено  в полном объеме</w:t>
      </w:r>
      <w:r w:rsidR="00095AB3">
        <w:rPr>
          <w:rFonts w:eastAsiaTheme="minorHAnsi"/>
          <w:lang w:eastAsia="en-US"/>
        </w:rPr>
        <w:t>.</w:t>
      </w:r>
      <w:r w:rsidR="00E04135" w:rsidRPr="00E04135">
        <w:rPr>
          <w:rFonts w:eastAsiaTheme="minorHAnsi"/>
          <w:lang w:eastAsia="en-US"/>
        </w:rPr>
        <w:t xml:space="preserve"> </w:t>
      </w:r>
    </w:p>
    <w:p w:rsidR="00E26EDE" w:rsidRPr="00547720" w:rsidRDefault="00817EAD" w:rsidP="00547720">
      <w:pPr>
        <w:autoSpaceDE w:val="0"/>
        <w:autoSpaceDN w:val="0"/>
        <w:adjustRightInd w:val="0"/>
        <w:ind w:firstLine="540"/>
        <w:jc w:val="both"/>
      </w:pPr>
      <w:r w:rsidRPr="00547720">
        <w:rPr>
          <w:rFonts w:eastAsiaTheme="minorHAnsi"/>
          <w:lang w:eastAsia="en-US"/>
        </w:rPr>
        <w:t xml:space="preserve"> </w:t>
      </w:r>
    </w:p>
    <w:p w:rsidR="00095AB3" w:rsidRPr="00095AB3" w:rsidRDefault="00B92E52" w:rsidP="00095AB3">
      <w:pPr>
        <w:spacing w:before="120"/>
        <w:jc w:val="both"/>
      </w:pPr>
      <w:r w:rsidRPr="00547720">
        <w:t xml:space="preserve">       </w:t>
      </w:r>
      <w:r w:rsidR="00AC1BAA" w:rsidRPr="00095AB3">
        <w:t xml:space="preserve">Отчет о результатах контрольного мероприятия направлен главе </w:t>
      </w:r>
      <w:r w:rsidR="00E26EDE" w:rsidRPr="00095AB3">
        <w:t>Череповецкого муниципального района</w:t>
      </w:r>
      <w:r w:rsidR="00476DCA" w:rsidRPr="00095AB3">
        <w:t>,</w:t>
      </w:r>
      <w:r w:rsidR="00AC1BAA" w:rsidRPr="00095AB3">
        <w:t xml:space="preserve"> копия отчета направлена в прокуратуру Череповецкого муниципального района для</w:t>
      </w:r>
      <w:r w:rsidR="00095AB3" w:rsidRPr="00095AB3">
        <w:t xml:space="preserve"> правовой оценки выявленных нарушений. </w:t>
      </w:r>
    </w:p>
    <w:p w:rsidR="00052195" w:rsidRPr="00095AB3" w:rsidRDefault="00052195" w:rsidP="00095AB3">
      <w:pPr>
        <w:jc w:val="both"/>
      </w:pPr>
    </w:p>
    <w:sectPr w:rsidR="00052195" w:rsidRPr="00095AB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150F6C"/>
    <w:rsid w:val="00190A4C"/>
    <w:rsid w:val="001F71B0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6A3024"/>
    <w:rsid w:val="007006A3"/>
    <w:rsid w:val="00817EAD"/>
    <w:rsid w:val="00852B7F"/>
    <w:rsid w:val="00874E70"/>
    <w:rsid w:val="008A08C4"/>
    <w:rsid w:val="008B4A28"/>
    <w:rsid w:val="008B4F9C"/>
    <w:rsid w:val="00947F08"/>
    <w:rsid w:val="009A0885"/>
    <w:rsid w:val="009A4EB1"/>
    <w:rsid w:val="00A64D15"/>
    <w:rsid w:val="00A84862"/>
    <w:rsid w:val="00AC1BAA"/>
    <w:rsid w:val="00B55582"/>
    <w:rsid w:val="00B82B5F"/>
    <w:rsid w:val="00B92E52"/>
    <w:rsid w:val="00C30667"/>
    <w:rsid w:val="00D27213"/>
    <w:rsid w:val="00DB277E"/>
    <w:rsid w:val="00E04135"/>
    <w:rsid w:val="00E26EDE"/>
    <w:rsid w:val="00E521FD"/>
    <w:rsid w:val="00F2327E"/>
    <w:rsid w:val="00F7551C"/>
    <w:rsid w:val="00F9244E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1C054688C64F87B2B55455B643DD9DE23B03A5F372D904DBBCA8C8A7EB2FE8249A3D0B224AA32DC3E00519303570F7A09C5A8E1rBn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11C054688C64F87B2B55455B643DD9DE2BBB3258302D904DBBCA8C8A7EB2FE8249A3D2BA2CA1608D71010DD557440C7B09C6A8FDB9BCDEr5nDL" TargetMode="External"/><Relationship Id="rId12" Type="http://schemas.openxmlformats.org/officeDocument/2006/relationships/hyperlink" Target="consultantplus://offline/ref=8709461FB2109DAE08A523F7CA3CEDCB3D78B0971D2D331E56BCC2AC90EFB8BCC208A06B56F2D5CE68C2F376E17CA7BA27CCD2A0770D8D69e6j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11C054688C64F87B2B55455B643DD9DE23B03A5F372D904DBBCA8C8A7EB2FE8249A3D6B82EAA32DC3E00519303570F7A09C5A8E1rBn8L" TargetMode="External"/><Relationship Id="rId11" Type="http://schemas.openxmlformats.org/officeDocument/2006/relationships/hyperlink" Target="consultantplus://offline/ref=8709461FB2109DAE08A523F7CA3CEDCB3D78B0971D2D331E56BCC2AC90EFB8BCC208A06B56F3D7C468C2F376E17CA7BA27CCD2A0770D8D69e6jBM" TargetMode="External"/><Relationship Id="rId5" Type="http://schemas.openxmlformats.org/officeDocument/2006/relationships/hyperlink" Target="consultantplus://offline/ref=6211C054688C64F87B2B55455B643DD9DE23B03A5F372D904DBBCA8C8A7EB2FE8249A3D0B224AA32DC3E00519303570F7A09C5A8E1rBn8L" TargetMode="External"/><Relationship Id="rId10" Type="http://schemas.openxmlformats.org/officeDocument/2006/relationships/hyperlink" Target="consultantplus://offline/ref=8709461FB2109DAE08A523F7CA3CEDCB3D78BE961C21331E56BCC2AC90EFB8BCC208A06B56F4D5CE629DF663F024AABF3CD2D4B86B0F8Fe6j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8CDEC187DC799E62946D5BFC194DA49317AA16F773EEBDBE189ED9AE55E3A4C32BB74A6AE3F833324CF6337A7A99FCE55970E4ABE40864Db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22</cp:revision>
  <dcterms:created xsi:type="dcterms:W3CDTF">2019-08-05T12:55:00Z</dcterms:created>
  <dcterms:modified xsi:type="dcterms:W3CDTF">2023-12-05T07:55:00Z</dcterms:modified>
</cp:coreProperties>
</file>