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A4" w:rsidRPr="002278A4" w:rsidRDefault="00F2327E" w:rsidP="002278A4">
      <w:pPr>
        <w:jc w:val="both"/>
      </w:pPr>
      <w:proofErr w:type="gramStart"/>
      <w:r w:rsidRPr="002278A4">
        <w:t>Информация по проведенному контрольному мероприятию</w:t>
      </w:r>
      <w:r w:rsidRPr="002278A4">
        <w:rPr>
          <w:b/>
        </w:rPr>
        <w:t xml:space="preserve"> </w:t>
      </w:r>
      <w:r w:rsidR="00C41739" w:rsidRPr="002278A4">
        <w:t>«</w:t>
      </w:r>
      <w:r w:rsidR="002278A4" w:rsidRPr="002278A4">
        <w:t>Проверка осуществления Комитетом имущественных отношений администрации Череповецкого муниципального района в период 2023-2024 годов  функций по администрированию доходов от сдачи в аренду имущества, составляющего казну муниципального района, доходов  от использования земельных участков, государственная собственность на которые не разграничена, и земельных участков, находящихся в собственности Череповецкого муниципального района, а также оценка эффективности управления дебиторской задолженностью по данным</w:t>
      </w:r>
      <w:proofErr w:type="gramEnd"/>
      <w:r w:rsidR="002278A4" w:rsidRPr="002278A4">
        <w:t xml:space="preserve"> видам поступлений».</w:t>
      </w:r>
    </w:p>
    <w:p w:rsidR="000F2C40" w:rsidRPr="00CC0538" w:rsidRDefault="000F2C40" w:rsidP="002278A4">
      <w:pPr>
        <w:rPr>
          <w:color w:val="FF0000"/>
        </w:rPr>
      </w:pPr>
    </w:p>
    <w:p w:rsidR="002278A4" w:rsidRPr="002278A4" w:rsidRDefault="00C41739" w:rsidP="002278A4">
      <w:pPr>
        <w:jc w:val="both"/>
      </w:pPr>
      <w:r w:rsidRPr="002278A4">
        <w:rPr>
          <w:color w:val="FF0000"/>
        </w:rPr>
        <w:t xml:space="preserve">      </w:t>
      </w:r>
      <w:r w:rsidR="002278A4" w:rsidRPr="002278A4">
        <w:t>Общий объем проверенных средств составил 104 517,8 тыс. рублей.</w:t>
      </w:r>
      <w:r w:rsidR="002278A4" w:rsidRPr="002278A4">
        <w:rPr>
          <w:color w:val="FF0000"/>
        </w:rPr>
        <w:t xml:space="preserve"> </w:t>
      </w:r>
      <w:r w:rsidR="002278A4" w:rsidRPr="002278A4">
        <w:t xml:space="preserve">По результатам проверки  установлены нарушения на общую сумму 7155,67 тыс. руб.: </w:t>
      </w:r>
    </w:p>
    <w:p w:rsidR="002278A4" w:rsidRPr="002278A4" w:rsidRDefault="002278A4" w:rsidP="002278A4">
      <w:pPr>
        <w:jc w:val="both"/>
      </w:pPr>
      <w:r w:rsidRPr="002278A4">
        <w:t>1. Нарушения в ходе исполнения бюджетов: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rPr>
          <w:iCs/>
          <w:lang w:eastAsia="ar-SA"/>
        </w:rPr>
        <w:t xml:space="preserve">1.1. В </w:t>
      </w:r>
      <w:r w:rsidRPr="002278A4">
        <w:rPr>
          <w:bCs/>
          <w:lang w:eastAsia="ar-SA"/>
        </w:rPr>
        <w:t xml:space="preserve">нарушение приказ Минфина России </w:t>
      </w:r>
      <w:r w:rsidRPr="002278A4">
        <w:rPr>
          <w:iCs/>
          <w:lang w:eastAsia="ar-SA"/>
        </w:rPr>
        <w:t xml:space="preserve">№ 75н, приказа Минфина России № 80н, </w:t>
      </w:r>
      <w:r w:rsidRPr="002278A4">
        <w:t>установлены нарушения порядка применения бюджетной классификации Российской Федерации (к. 1.2.6.).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t xml:space="preserve">1.2. В нарушении  статьи 47.2  БК РФ, Постановления  № 393 установлены  нарушения при списании задолженности,  что </w:t>
      </w:r>
      <w:r w:rsidRPr="002278A4">
        <w:rPr>
          <w:rFonts w:eastAsiaTheme="minorHAnsi"/>
          <w:lang w:eastAsia="en-US"/>
        </w:rPr>
        <w:t xml:space="preserve">в соответствии с </w:t>
      </w:r>
      <w:r w:rsidRPr="002278A4">
        <w:t xml:space="preserve">классификатором (к. 1.2.39.) является </w:t>
      </w:r>
      <w:r w:rsidRPr="002278A4">
        <w:rPr>
          <w:rFonts w:eastAsiaTheme="minorHAnsi"/>
          <w:lang w:eastAsia="en-US"/>
        </w:rPr>
        <w:t xml:space="preserve"> н</w:t>
      </w:r>
      <w:r w:rsidRPr="002278A4">
        <w:t>еправомерным списанием задолженности по платежам в бюджеты бюджетной системы Российской Федерации.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t>1.3. Неосуществление (ненадлежащее осуществление) бюджетных полномочий главного администратора (администратора) доходов бюджета (к. 1.2.98):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proofErr w:type="gramStart"/>
      <w:r w:rsidRPr="002278A4">
        <w:t>-  в нарушении  </w:t>
      </w:r>
      <w:hyperlink r:id="rId5" w:anchor="/document/12112604/entry/160142" w:history="1">
        <w:r w:rsidRPr="002278A4">
          <w:t>абзацев 2</w:t>
        </w:r>
      </w:hyperlink>
      <w:r w:rsidRPr="002278A4">
        <w:t xml:space="preserve"> и 3 пункта 4 статьи 160.1 </w:t>
      </w:r>
      <w:hyperlink r:id="rId6" w:anchor="/document/12112604/entry/160143" w:history="1">
        <w:r w:rsidRPr="002278A4">
          <w:t> </w:t>
        </w:r>
      </w:hyperlink>
      <w:r w:rsidRPr="002278A4">
        <w:rPr>
          <w:bCs/>
        </w:rPr>
        <w:t xml:space="preserve"> БК РФ</w:t>
      </w:r>
      <w:r w:rsidRPr="002278A4">
        <w:t>,  приказа Минфина России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Комитетом не разработан и не утвержден регламент реализации полномочий по взысканию дебиторской задолженности по платежам в бюджет, пеням</w:t>
      </w:r>
      <w:proofErr w:type="gramEnd"/>
      <w:r w:rsidRPr="002278A4">
        <w:t xml:space="preserve"> и штрафам по ним; </w:t>
      </w:r>
    </w:p>
    <w:p w:rsidR="002278A4" w:rsidRPr="002278A4" w:rsidRDefault="002278A4" w:rsidP="00227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78A4">
        <w:rPr>
          <w:rFonts w:ascii="Times New Roman" w:hAnsi="Times New Roman" w:cs="Times New Roman"/>
          <w:sz w:val="24"/>
          <w:szCs w:val="24"/>
        </w:rPr>
        <w:t xml:space="preserve">- в нарушении пункта </w:t>
      </w:r>
      <w:hyperlink r:id="rId7" w:history="1">
        <w:r w:rsidRPr="002278A4">
          <w:rPr>
            <w:rFonts w:ascii="Times New Roman" w:hAnsi="Times New Roman" w:cs="Times New Roman"/>
            <w:sz w:val="24"/>
            <w:szCs w:val="24"/>
          </w:rPr>
          <w:t>4 статьи 47.2</w:t>
        </w:r>
      </w:hyperlink>
      <w:r w:rsidRPr="002278A4">
        <w:rPr>
          <w:rFonts w:ascii="Times New Roman" w:hAnsi="Times New Roman" w:cs="Times New Roman"/>
          <w:sz w:val="24"/>
          <w:szCs w:val="24"/>
        </w:rPr>
        <w:t xml:space="preserve"> БК РФ, Постановления  № 393, Комитетом не утвержден Порядок принятия решений о признании безнадежной к взысканию задолженности по платежам в бюджет;</w:t>
      </w:r>
    </w:p>
    <w:p w:rsidR="002278A4" w:rsidRPr="002278A4" w:rsidRDefault="002278A4" w:rsidP="00227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78A4">
        <w:rPr>
          <w:rFonts w:ascii="Times New Roman" w:hAnsi="Times New Roman" w:cs="Times New Roman"/>
          <w:sz w:val="24"/>
          <w:szCs w:val="24"/>
        </w:rPr>
        <w:t xml:space="preserve">-  ненадлежащее (несвоевременное) осуществления </w:t>
      </w:r>
      <w:proofErr w:type="spellStart"/>
      <w:r w:rsidRPr="002278A4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2278A4">
        <w:rPr>
          <w:rFonts w:ascii="Times New Roman" w:hAnsi="Times New Roman" w:cs="Times New Roman"/>
          <w:sz w:val="24"/>
          <w:szCs w:val="24"/>
        </w:rPr>
        <w:t xml:space="preserve"> - исковой работы, в том числе за пределами общего срока исковой давности, повлекло </w:t>
      </w:r>
      <w:proofErr w:type="spellStart"/>
      <w:r w:rsidRPr="002278A4">
        <w:rPr>
          <w:rFonts w:ascii="Times New Roman" w:hAnsi="Times New Roman" w:cs="Times New Roman"/>
          <w:sz w:val="24"/>
          <w:szCs w:val="24"/>
        </w:rPr>
        <w:t>недополучение</w:t>
      </w:r>
      <w:proofErr w:type="spellEnd"/>
      <w:r w:rsidRPr="002278A4">
        <w:rPr>
          <w:rFonts w:ascii="Times New Roman" w:hAnsi="Times New Roman" w:cs="Times New Roman"/>
          <w:sz w:val="24"/>
          <w:szCs w:val="24"/>
        </w:rPr>
        <w:t xml:space="preserve"> бюджетом района доходов от аренды земельных участков и имущества.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t>2. Нарушения установленных единых требований к бюджетному (бухгалтерскому) учету, в том числе бюджетной, бухгалтерской (финансовой) отчетности: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t>2.1. Нарушение требований, предъявляемых к правилам ведения бюджетного (бухгалтерского) учета (к. 2.11):</w:t>
      </w:r>
    </w:p>
    <w:p w:rsidR="002278A4" w:rsidRPr="002278A4" w:rsidRDefault="002278A4" w:rsidP="002278A4">
      <w:pPr>
        <w:jc w:val="both"/>
      </w:pPr>
      <w:r w:rsidRPr="002278A4">
        <w:rPr>
          <w:rFonts w:eastAsiaTheme="minorHAnsi"/>
          <w:lang w:eastAsia="en-US"/>
        </w:rPr>
        <w:t xml:space="preserve">- </w:t>
      </w:r>
      <w:r w:rsidRPr="002278A4">
        <w:t xml:space="preserve">в нарушении пунктов 71, 142 Инструкции № 157н, пункта 16 Инструкции № 162н установлены нарушения ведения бюджетного учета земельных участков на сумму 7151,47 тыс. руб.; </w:t>
      </w:r>
    </w:p>
    <w:p w:rsidR="002278A4" w:rsidRPr="002278A4" w:rsidRDefault="002278A4" w:rsidP="002278A4">
      <w:pPr>
        <w:jc w:val="both"/>
        <w:rPr>
          <w:bCs/>
        </w:rPr>
      </w:pPr>
      <w:proofErr w:type="gramStart"/>
      <w:r w:rsidRPr="002278A4">
        <w:t xml:space="preserve">-  в </w:t>
      </w:r>
      <w:r w:rsidRPr="002278A4">
        <w:rPr>
          <w:bCs/>
        </w:rPr>
        <w:t xml:space="preserve"> нарушении требований, установленных </w:t>
      </w:r>
      <w:hyperlink r:id="rId8" w:history="1">
        <w:r w:rsidRPr="002278A4">
          <w:rPr>
            <w:bCs/>
          </w:rPr>
          <w:t>частью 1 статьи 10</w:t>
        </w:r>
      </w:hyperlink>
      <w:r w:rsidRPr="002278A4">
        <w:rPr>
          <w:bCs/>
        </w:rPr>
        <w:t xml:space="preserve"> </w:t>
      </w:r>
      <w:r w:rsidRPr="002278A4">
        <w:t xml:space="preserve">  ФЗ № 402-ФЗ</w:t>
      </w:r>
      <w:r w:rsidRPr="002278A4">
        <w:rPr>
          <w:bCs/>
        </w:rPr>
        <w:t xml:space="preserve">, </w:t>
      </w:r>
      <w:hyperlink r:id="rId9" w:history="1">
        <w:r w:rsidRPr="002278A4">
          <w:rPr>
            <w:bCs/>
          </w:rPr>
          <w:t>пунктом 197</w:t>
        </w:r>
      </w:hyperlink>
      <w:r w:rsidRPr="002278A4">
        <w:rPr>
          <w:bCs/>
        </w:rPr>
        <w:t xml:space="preserve"> Инструкции № 157н, пунктом 4.8.10 Учетной политики  операции по начислению поступлений доходов по счету 205.20 «Расчеты по доходам от собственности» осуществлялись не в момент возникновения требований к их плательщикам </w:t>
      </w:r>
      <w:r w:rsidRPr="002278A4">
        <w:t>(по суммам предстоящих доходов)</w:t>
      </w:r>
      <w:r w:rsidRPr="002278A4">
        <w:rPr>
          <w:bCs/>
        </w:rPr>
        <w:t xml:space="preserve"> возникающих в силу договоров, соглашений, а только после фактического поступления доходов;</w:t>
      </w:r>
      <w:proofErr w:type="gramEnd"/>
    </w:p>
    <w:p w:rsidR="002278A4" w:rsidRPr="002278A4" w:rsidRDefault="002278A4" w:rsidP="002278A4">
      <w:pPr>
        <w:jc w:val="both"/>
        <w:rPr>
          <w:bCs/>
        </w:rPr>
      </w:pPr>
      <w:r w:rsidRPr="002278A4">
        <w:rPr>
          <w:bCs/>
        </w:rPr>
        <w:t>- форма</w:t>
      </w:r>
      <w:r w:rsidRPr="002278A4">
        <w:t xml:space="preserve"> 0503169 «Сведения по дебиторской и кредиторской задолженности» не дает точной информации об объемах дебиторской задолженности;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  <w:rPr>
          <w:rFonts w:eastAsia="Calibri"/>
        </w:rPr>
      </w:pPr>
      <w:r w:rsidRPr="002278A4">
        <w:rPr>
          <w:bCs/>
        </w:rPr>
        <w:t xml:space="preserve">- </w:t>
      </w:r>
      <w:r w:rsidRPr="002278A4">
        <w:t xml:space="preserve"> в нарушении </w:t>
      </w:r>
      <w:r w:rsidRPr="002278A4">
        <w:rPr>
          <w:rFonts w:eastAsia="Calibri"/>
        </w:rPr>
        <w:t xml:space="preserve">пунктов 34 и 339 Инструкции № 157н, Учетной политики </w:t>
      </w:r>
      <w:r w:rsidRPr="002278A4">
        <w:t>Комитетом не утверждена Комиссия</w:t>
      </w:r>
      <w:r w:rsidRPr="002278A4">
        <w:rPr>
          <w:rFonts w:eastAsia="Calibri"/>
        </w:rPr>
        <w:t xml:space="preserve"> учреждения по поступлению и выбытию активов;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rPr>
          <w:rFonts w:eastAsia="Calibri"/>
        </w:rPr>
        <w:t>- в</w:t>
      </w:r>
      <w:r w:rsidRPr="002278A4">
        <w:t xml:space="preserve"> нарушении приказа Минфина России от 15.04.2021 № 61н не применялись формы </w:t>
      </w:r>
      <w:hyperlink r:id="rId10" w:history="1">
        <w:r w:rsidRPr="002278A4">
          <w:t>0510445</w:t>
        </w:r>
      </w:hyperlink>
      <w:r w:rsidRPr="002278A4">
        <w:t xml:space="preserve"> и</w:t>
      </w:r>
      <w:hyperlink r:id="rId11" w:history="1">
        <w:r w:rsidRPr="002278A4">
          <w:t xml:space="preserve"> 0510436</w:t>
        </w:r>
      </w:hyperlink>
      <w:r w:rsidRPr="002278A4">
        <w:t>;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lastRenderedPageBreak/>
        <w:t xml:space="preserve">-  в нарушении </w:t>
      </w:r>
      <w:r w:rsidRPr="002278A4">
        <w:rPr>
          <w:rFonts w:eastAsiaTheme="minorHAnsi"/>
          <w:lang w:eastAsia="en-US"/>
        </w:rPr>
        <w:t xml:space="preserve"> </w:t>
      </w:r>
      <w:hyperlink r:id="rId12" w:history="1">
        <w:r w:rsidRPr="002278A4">
          <w:rPr>
            <w:rFonts w:eastAsiaTheme="minorHAnsi"/>
            <w:lang w:eastAsia="en-US"/>
          </w:rPr>
          <w:t>пункта 200</w:t>
        </w:r>
      </w:hyperlink>
      <w:r w:rsidRPr="002278A4">
        <w:rPr>
          <w:rFonts w:eastAsiaTheme="minorHAnsi"/>
          <w:lang w:eastAsia="en-US"/>
        </w:rPr>
        <w:t xml:space="preserve"> Инструкции № 157н,</w:t>
      </w:r>
      <w:r w:rsidRPr="002278A4">
        <w:rPr>
          <w:rFonts w:eastAsiaTheme="minorHAnsi"/>
          <w:bCs/>
          <w:iCs/>
          <w:lang w:eastAsia="en-US"/>
        </w:rPr>
        <w:t xml:space="preserve"> </w:t>
      </w:r>
      <w:r w:rsidRPr="002278A4">
        <w:rPr>
          <w:rFonts w:eastAsiaTheme="minorHAnsi"/>
          <w:lang w:eastAsia="en-US"/>
        </w:rPr>
        <w:t xml:space="preserve"> в бюджетном учете Комитета не ведется а</w:t>
      </w:r>
      <w:r w:rsidRPr="002278A4">
        <w:t xml:space="preserve">налитический учет. Учетной политикой не определен порядок отражения в учете операций с </w:t>
      </w:r>
      <w:proofErr w:type="spellStart"/>
      <w:r w:rsidRPr="002278A4">
        <w:t>администрируемыми</w:t>
      </w:r>
      <w:proofErr w:type="spellEnd"/>
      <w:r w:rsidRPr="002278A4">
        <w:t xml:space="preserve"> доходами.</w:t>
      </w:r>
    </w:p>
    <w:p w:rsidR="002278A4" w:rsidRPr="002278A4" w:rsidRDefault="002278A4" w:rsidP="002278A4">
      <w:pPr>
        <w:jc w:val="both"/>
      </w:pPr>
      <w:r w:rsidRPr="002278A4">
        <w:t xml:space="preserve">2.2. В нарушение статьи 11 ФЗ № 402-ФЗ, в 2023 году инвентаризация активов и обязательств не проводилась, что в соответствии с классификатором (к. 2.4.) является </w:t>
      </w:r>
      <w:r w:rsidRPr="002278A4">
        <w:rPr>
          <w:rFonts w:eastAsiaTheme="minorHAnsi"/>
          <w:lang w:eastAsia="en-US"/>
        </w:rPr>
        <w:t xml:space="preserve"> н</w:t>
      </w:r>
      <w:r w:rsidRPr="002278A4">
        <w:t>арушением требований, предъявляемых к проведению и документальному оформлению результатов инвентаризации активов и обязательств.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t>3. Нарушения в сфере управления и распоряжения государственной (муниципальной) собственностью: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</w:pPr>
      <w:r w:rsidRPr="002278A4">
        <w:t>3.1. В</w:t>
      </w:r>
      <w:r w:rsidRPr="002278A4">
        <w:rPr>
          <w:rFonts w:eastAsiaTheme="minorHAnsi"/>
          <w:lang w:eastAsia="en-US"/>
        </w:rPr>
        <w:t xml:space="preserve"> нарушении статьи </w:t>
      </w:r>
      <w:r w:rsidRPr="002278A4">
        <w:t xml:space="preserve">51 Федерального закона № 131-ФЗ  </w:t>
      </w:r>
      <w:r w:rsidRPr="002278A4">
        <w:rPr>
          <w:rFonts w:eastAsiaTheme="minorHAnsi"/>
          <w:lang w:eastAsia="en-US"/>
        </w:rPr>
        <w:t xml:space="preserve">и </w:t>
      </w:r>
      <w:r w:rsidRPr="002278A4">
        <w:t xml:space="preserve">приказа Минфина России от 10.10.2023 № 163н, </w:t>
      </w:r>
      <w:r w:rsidRPr="002278A4">
        <w:rPr>
          <w:rFonts w:eastAsiaTheme="minorHAnsi"/>
          <w:lang w:eastAsia="en-US"/>
        </w:rPr>
        <w:t xml:space="preserve"> установлены нарушения порядка учета и ведения реестра  муниципального имущества, </w:t>
      </w:r>
      <w:r w:rsidRPr="002278A4">
        <w:t>(к. 3.24);</w:t>
      </w:r>
    </w:p>
    <w:p w:rsidR="002278A4" w:rsidRPr="002278A4" w:rsidRDefault="002278A4" w:rsidP="002278A4">
      <w:pPr>
        <w:autoSpaceDE w:val="0"/>
        <w:autoSpaceDN w:val="0"/>
        <w:adjustRightInd w:val="0"/>
        <w:jc w:val="both"/>
        <w:outlineLvl w:val="0"/>
      </w:pPr>
      <w:r w:rsidRPr="002278A4">
        <w:t xml:space="preserve">3.2. </w:t>
      </w:r>
      <w:proofErr w:type="gramStart"/>
      <w:r w:rsidRPr="002278A4">
        <w:t xml:space="preserve">В </w:t>
      </w:r>
      <w:r w:rsidRPr="002278A4">
        <w:rPr>
          <w:rFonts w:eastAsiaTheme="minorHAnsi"/>
          <w:lang w:eastAsia="en-US"/>
        </w:rPr>
        <w:t xml:space="preserve">нарушении статьи </w:t>
      </w:r>
      <w:r w:rsidRPr="002278A4">
        <w:t xml:space="preserve">614 Гражданского кодекса РФ, </w:t>
      </w:r>
      <w:r w:rsidRPr="002278A4">
        <w:rPr>
          <w:rFonts w:eastAsiaTheme="minorHAnsi"/>
          <w:lang w:eastAsia="en-US"/>
        </w:rPr>
        <w:t xml:space="preserve">установлены </w:t>
      </w:r>
      <w:r w:rsidRPr="002278A4">
        <w:t>неисполнение (ненадлежащее исполнение) договорных обязательств в отношении государственного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государственным (муниципальным) имуществом, убытков, неустойки (к. 3.60) на сумму 4,2 тыс. рублей.</w:t>
      </w:r>
      <w:proofErr w:type="gramEnd"/>
    </w:p>
    <w:p w:rsidR="00753973" w:rsidRDefault="00753973" w:rsidP="002278A4">
      <w:pPr>
        <w:jc w:val="both"/>
        <w:rPr>
          <w:rFonts w:eastAsiaTheme="minorHAnsi"/>
          <w:color w:val="FF0000"/>
          <w:lang w:eastAsia="en-US"/>
        </w:rPr>
      </w:pPr>
      <w:r w:rsidRPr="002278A4">
        <w:rPr>
          <w:rFonts w:eastAsiaTheme="minorHAnsi"/>
          <w:color w:val="FF0000"/>
          <w:lang w:eastAsia="en-US"/>
        </w:rPr>
        <w:t xml:space="preserve"> </w:t>
      </w:r>
    </w:p>
    <w:p w:rsidR="002278A4" w:rsidRPr="00DE7BB5" w:rsidRDefault="002278A4" w:rsidP="002278A4">
      <w:pPr>
        <w:jc w:val="both"/>
        <w:rPr>
          <w:rFonts w:eastAsiaTheme="minorHAnsi"/>
          <w:lang w:eastAsia="en-US"/>
        </w:rPr>
      </w:pPr>
      <w:r w:rsidRPr="00DE7BB5">
        <w:rPr>
          <w:rFonts w:eastAsiaTheme="minorHAnsi"/>
          <w:lang w:eastAsia="en-US"/>
        </w:rPr>
        <w:t>По результатам контрольного мероприятия направлены рекомендации:</w:t>
      </w:r>
    </w:p>
    <w:p w:rsidR="002278A4" w:rsidRPr="002278A4" w:rsidRDefault="002278A4" w:rsidP="002278A4">
      <w:pPr>
        <w:jc w:val="both"/>
      </w:pPr>
      <w:r>
        <w:t xml:space="preserve">        </w:t>
      </w:r>
      <w:r w:rsidRPr="002278A4">
        <w:t xml:space="preserve">1. Обеспечить ведение реестра муниципального имущества в соответствии с приказом Минфина России от 10.10.2023 № 163н. </w:t>
      </w:r>
    </w:p>
    <w:p w:rsidR="002278A4" w:rsidRPr="002278A4" w:rsidRDefault="002278A4" w:rsidP="002278A4">
      <w:pPr>
        <w:jc w:val="both"/>
        <w:rPr>
          <w:rFonts w:eastAsia="Arial Unicode MS"/>
          <w:bCs/>
        </w:rPr>
      </w:pPr>
      <w:r w:rsidRPr="002278A4">
        <w:rPr>
          <w:color w:val="FF0000"/>
        </w:rPr>
        <w:t xml:space="preserve">        </w:t>
      </w:r>
      <w:r w:rsidRPr="002278A4">
        <w:rPr>
          <w:bCs/>
        </w:rPr>
        <w:t xml:space="preserve">2. </w:t>
      </w:r>
      <w:r w:rsidRPr="002278A4">
        <w:rPr>
          <w:lang w:eastAsia="en-US"/>
        </w:rPr>
        <w:t xml:space="preserve">Исключить в дальнейшей работе </w:t>
      </w:r>
      <w:proofErr w:type="gramStart"/>
      <w:r w:rsidRPr="002278A4">
        <w:rPr>
          <w:bCs/>
        </w:rPr>
        <w:t>нарушения по</w:t>
      </w:r>
      <w:r w:rsidRPr="002278A4">
        <w:t>рядка применения бюджетной классификации Российской Федерации</w:t>
      </w:r>
      <w:proofErr w:type="gramEnd"/>
      <w:r w:rsidRPr="002278A4">
        <w:t xml:space="preserve"> при поступлении доходов </w:t>
      </w:r>
      <w:r w:rsidRPr="002278A4">
        <w:rPr>
          <w:iCs/>
        </w:rPr>
        <w:t xml:space="preserve">от сдачи в аренду </w:t>
      </w:r>
      <w:r w:rsidRPr="002278A4">
        <w:rPr>
          <w:rFonts w:eastAsia="Arial Unicode MS"/>
          <w:bCs/>
        </w:rPr>
        <w:t>земельных участков, находящихся в собственности района.</w:t>
      </w:r>
    </w:p>
    <w:p w:rsidR="002278A4" w:rsidRPr="002278A4" w:rsidRDefault="002278A4" w:rsidP="002278A4">
      <w:pPr>
        <w:jc w:val="both"/>
        <w:rPr>
          <w:rFonts w:eastAsia="Arial Unicode MS"/>
          <w:bCs/>
        </w:rPr>
      </w:pPr>
      <w:r w:rsidRPr="002278A4">
        <w:rPr>
          <w:rFonts w:eastAsia="Arial Unicode MS"/>
          <w:bCs/>
        </w:rPr>
        <w:t xml:space="preserve">        3. Инициировать вопрос о внесении изменений в решение Муниципального Собрания  района от 13.12.2024 № 610  </w:t>
      </w:r>
      <w:r w:rsidRPr="002278A4">
        <w:t xml:space="preserve">«О бюджете Череповецкого муниципального района на 2025 год и плановый период 2026 и 2027 годов» </w:t>
      </w:r>
      <w:r w:rsidRPr="002278A4">
        <w:rPr>
          <w:rFonts w:eastAsia="Arial Unicode MS"/>
          <w:bCs/>
        </w:rPr>
        <w:t xml:space="preserve"> в части уточнения плановых назначений по доходам от аренды земельных участков, находящихся в собственности района. </w:t>
      </w:r>
    </w:p>
    <w:p w:rsidR="002278A4" w:rsidRPr="002278A4" w:rsidRDefault="002278A4" w:rsidP="002278A4">
      <w:pPr>
        <w:jc w:val="both"/>
        <w:rPr>
          <w:bCs/>
        </w:rPr>
      </w:pPr>
      <w:r w:rsidRPr="002278A4">
        <w:rPr>
          <w:rFonts w:eastAsia="Arial Unicode MS"/>
          <w:bCs/>
        </w:rPr>
        <w:t xml:space="preserve">        4</w:t>
      </w:r>
      <w:r w:rsidRPr="002278A4">
        <w:rPr>
          <w:bCs/>
        </w:rPr>
        <w:t xml:space="preserve">. В целях </w:t>
      </w:r>
      <w:r w:rsidRPr="002278A4">
        <w:rPr>
          <w:lang w:eastAsia="ar-SA"/>
        </w:rPr>
        <w:t>достоверного представления о финансовом положении экономического субъекта на отчетные даты</w:t>
      </w:r>
      <w:r w:rsidRPr="002278A4">
        <w:rPr>
          <w:bCs/>
        </w:rPr>
        <w:t xml:space="preserve"> отразить в бюджетном (бухгалтерском)  учете суммы фактической дебиторской задолженности по арендным платежам. </w:t>
      </w:r>
    </w:p>
    <w:p w:rsidR="002278A4" w:rsidRPr="002278A4" w:rsidRDefault="002278A4" w:rsidP="002278A4">
      <w:pPr>
        <w:shd w:val="clear" w:color="auto" w:fill="FFFFFF"/>
        <w:tabs>
          <w:tab w:val="left" w:pos="567"/>
        </w:tabs>
        <w:jc w:val="both"/>
        <w:rPr>
          <w:bCs/>
        </w:rPr>
      </w:pPr>
      <w:r w:rsidRPr="002278A4">
        <w:rPr>
          <w:bCs/>
        </w:rPr>
        <w:t xml:space="preserve">        5. Отразить в бюджетном (бухгалтерском)  учете операции по предоставлению в аренду земельных участков, находящихся в собственности района. </w:t>
      </w:r>
    </w:p>
    <w:p w:rsidR="002278A4" w:rsidRPr="002278A4" w:rsidRDefault="002278A4" w:rsidP="002278A4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2278A4">
        <w:rPr>
          <w:bCs/>
        </w:rPr>
        <w:t xml:space="preserve">        6</w:t>
      </w:r>
      <w:r w:rsidRPr="002278A4">
        <w:t>. Принять</w:t>
      </w:r>
      <w:r w:rsidRPr="002278A4">
        <w:rPr>
          <w:color w:val="000000"/>
        </w:rPr>
        <w:t xml:space="preserve"> меры по выявлению сомнительной дебиторской задолженности, длительное время не приносящей полезного потенциала и не соответствующей критериям актива.</w:t>
      </w:r>
    </w:p>
    <w:p w:rsidR="002278A4" w:rsidRPr="002278A4" w:rsidRDefault="002278A4" w:rsidP="002278A4">
      <w:pPr>
        <w:shd w:val="clear" w:color="auto" w:fill="FFFFFF"/>
        <w:tabs>
          <w:tab w:val="left" w:pos="567"/>
        </w:tabs>
        <w:jc w:val="both"/>
      </w:pPr>
      <w:r w:rsidRPr="002278A4">
        <w:rPr>
          <w:color w:val="000000"/>
        </w:rPr>
        <w:t xml:space="preserve">       7. </w:t>
      </w:r>
      <w:r w:rsidRPr="002278A4">
        <w:t xml:space="preserve">В соответствии с нормами федерального законодательства о бухгалтерском учете ежегодно проводить инвентаризацию финансовых активов с составлением актов сверок по расчетам с дебиторами.  </w:t>
      </w:r>
    </w:p>
    <w:p w:rsidR="002278A4" w:rsidRPr="002278A4" w:rsidRDefault="002278A4" w:rsidP="002278A4">
      <w:pPr>
        <w:shd w:val="clear" w:color="auto" w:fill="FFFFFF"/>
        <w:tabs>
          <w:tab w:val="left" w:pos="567"/>
        </w:tabs>
        <w:jc w:val="both"/>
      </w:pPr>
      <w:r w:rsidRPr="002278A4">
        <w:t xml:space="preserve">      8. Осуществлять своевременную исковую работу по выставленным  и не исполненным претензиям.</w:t>
      </w:r>
    </w:p>
    <w:p w:rsidR="002278A4" w:rsidRPr="002278A4" w:rsidRDefault="002278A4" w:rsidP="002278A4">
      <w:pPr>
        <w:shd w:val="clear" w:color="auto" w:fill="FFFFFF"/>
        <w:tabs>
          <w:tab w:val="left" w:pos="567"/>
        </w:tabs>
        <w:jc w:val="both"/>
        <w:rPr>
          <w:bCs/>
        </w:rPr>
      </w:pPr>
      <w:r w:rsidRPr="002278A4">
        <w:t xml:space="preserve">      9</w:t>
      </w:r>
      <w:r w:rsidRPr="002278A4">
        <w:rPr>
          <w:iCs/>
        </w:rPr>
        <w:t xml:space="preserve">. Для повышения наполняемости бюджета района неналоговыми доходами  усилить работу по взаимодействию с Федеральной службой судебных приставов. </w:t>
      </w:r>
    </w:p>
    <w:p w:rsidR="002278A4" w:rsidRPr="002278A4" w:rsidRDefault="002278A4" w:rsidP="002278A4">
      <w:pPr>
        <w:shd w:val="clear" w:color="auto" w:fill="FFFFFF"/>
        <w:tabs>
          <w:tab w:val="left" w:pos="567"/>
        </w:tabs>
        <w:jc w:val="both"/>
        <w:rPr>
          <w:bCs/>
        </w:rPr>
      </w:pPr>
      <w:r w:rsidRPr="002278A4">
        <w:rPr>
          <w:bCs/>
        </w:rPr>
        <w:t xml:space="preserve">       10. Рассмотреть вопрос о привлечении к дисциплинарной ответственности должностных лиц, допустивших нарушения, установленные в ходе контрольного мероприятия.</w:t>
      </w:r>
    </w:p>
    <w:p w:rsidR="002278A4" w:rsidRPr="00E719B8" w:rsidRDefault="002278A4" w:rsidP="002278A4">
      <w:pPr>
        <w:pStyle w:val="a7"/>
        <w:jc w:val="both"/>
        <w:rPr>
          <w:color w:val="FF0000"/>
          <w:sz w:val="28"/>
          <w:szCs w:val="28"/>
        </w:rPr>
      </w:pPr>
    </w:p>
    <w:p w:rsidR="002278A4" w:rsidRDefault="002278A4" w:rsidP="002278A4">
      <w:pPr>
        <w:jc w:val="both"/>
        <w:rPr>
          <w:rFonts w:eastAsiaTheme="minorHAnsi"/>
          <w:color w:val="FF0000"/>
          <w:lang w:eastAsia="en-US"/>
        </w:rPr>
      </w:pPr>
    </w:p>
    <w:p w:rsidR="002278A4" w:rsidRPr="002278A4" w:rsidRDefault="002278A4" w:rsidP="002278A4">
      <w:pPr>
        <w:jc w:val="both"/>
        <w:rPr>
          <w:rFonts w:eastAsiaTheme="minorHAnsi"/>
          <w:color w:val="FF0000"/>
          <w:lang w:eastAsia="en-US"/>
        </w:rPr>
      </w:pPr>
    </w:p>
    <w:p w:rsidR="00753973" w:rsidRPr="002278A4" w:rsidRDefault="00753973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lang w:eastAsia="en-US"/>
        </w:rPr>
      </w:pPr>
      <w:r w:rsidRPr="002278A4">
        <w:rPr>
          <w:rFonts w:eastAsiaTheme="minorHAnsi"/>
          <w:lang w:eastAsia="en-US"/>
        </w:rPr>
        <w:lastRenderedPageBreak/>
        <w:t xml:space="preserve">            По результатам контрольного мероприятия вынесено представление, которое исполнено  в полном объеме. </w:t>
      </w:r>
      <w:r w:rsidR="002278A4">
        <w:rPr>
          <w:rFonts w:eastAsiaTheme="minorHAnsi"/>
          <w:lang w:eastAsia="en-US"/>
        </w:rPr>
        <w:t>Принято три правовых акта.</w:t>
      </w:r>
    </w:p>
    <w:p w:rsidR="00C41739" w:rsidRPr="00CC0538" w:rsidRDefault="00C41739" w:rsidP="00753973">
      <w:pPr>
        <w:autoSpaceDE w:val="0"/>
        <w:autoSpaceDN w:val="0"/>
        <w:adjustRightInd w:val="0"/>
        <w:ind w:left="142"/>
        <w:jc w:val="both"/>
        <w:outlineLvl w:val="0"/>
        <w:rPr>
          <w:rFonts w:eastAsiaTheme="minorHAnsi"/>
          <w:color w:val="FF0000"/>
          <w:lang w:eastAsia="en-US"/>
        </w:rPr>
      </w:pPr>
    </w:p>
    <w:p w:rsidR="00052195" w:rsidRPr="002278A4" w:rsidRDefault="00B92E52" w:rsidP="00753973">
      <w:pPr>
        <w:jc w:val="both"/>
      </w:pPr>
      <w:r w:rsidRPr="00CC0538">
        <w:rPr>
          <w:color w:val="FF0000"/>
        </w:rPr>
        <w:t xml:space="preserve">       </w:t>
      </w:r>
      <w:r w:rsidR="00AC1BAA" w:rsidRPr="002278A4">
        <w:t xml:space="preserve">Отчет о результатах контрольного мероприятия направлен главе </w:t>
      </w:r>
      <w:r w:rsidR="00E26EDE" w:rsidRPr="002278A4">
        <w:t>Череповецкого муниципального района</w:t>
      </w:r>
      <w:r w:rsidR="00476DCA" w:rsidRPr="002278A4">
        <w:t>,</w:t>
      </w:r>
      <w:r w:rsidR="00AC1BAA" w:rsidRPr="002278A4">
        <w:t xml:space="preserve"> копия отчета направлена в прокуратуру Череповецкого муниципального района для</w:t>
      </w:r>
      <w:r w:rsidR="00095AB3" w:rsidRPr="002278A4">
        <w:t xml:space="preserve"> правовой оценки выявленных нарушений. </w:t>
      </w:r>
    </w:p>
    <w:sectPr w:rsidR="00052195" w:rsidRPr="002278A4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9D"/>
    <w:multiLevelType w:val="hybridMultilevel"/>
    <w:tmpl w:val="85801390"/>
    <w:lvl w:ilvl="0" w:tplc="CA781A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B1E0D"/>
    <w:multiLevelType w:val="hybridMultilevel"/>
    <w:tmpl w:val="5F083802"/>
    <w:lvl w:ilvl="0" w:tplc="FD925E0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0347B"/>
    <w:rsid w:val="00052195"/>
    <w:rsid w:val="00095AB3"/>
    <w:rsid w:val="000B418A"/>
    <w:rsid w:val="000F2C40"/>
    <w:rsid w:val="00150F6C"/>
    <w:rsid w:val="00190A4C"/>
    <w:rsid w:val="001976FC"/>
    <w:rsid w:val="001E5BED"/>
    <w:rsid w:val="002031D7"/>
    <w:rsid w:val="002278A4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5B323F"/>
    <w:rsid w:val="006A3024"/>
    <w:rsid w:val="007006A3"/>
    <w:rsid w:val="00713A96"/>
    <w:rsid w:val="00753973"/>
    <w:rsid w:val="00817EAD"/>
    <w:rsid w:val="00825066"/>
    <w:rsid w:val="00852B7F"/>
    <w:rsid w:val="00870CE9"/>
    <w:rsid w:val="00874E70"/>
    <w:rsid w:val="008B4A28"/>
    <w:rsid w:val="008B4F9C"/>
    <w:rsid w:val="008B528B"/>
    <w:rsid w:val="0090009B"/>
    <w:rsid w:val="00947F08"/>
    <w:rsid w:val="009A0885"/>
    <w:rsid w:val="009A4EB1"/>
    <w:rsid w:val="009E63B4"/>
    <w:rsid w:val="00A40CBD"/>
    <w:rsid w:val="00A64D15"/>
    <w:rsid w:val="00A75960"/>
    <w:rsid w:val="00A84862"/>
    <w:rsid w:val="00AB5DBD"/>
    <w:rsid w:val="00AC1BAA"/>
    <w:rsid w:val="00B55582"/>
    <w:rsid w:val="00B82B5F"/>
    <w:rsid w:val="00B92E52"/>
    <w:rsid w:val="00BC7F4B"/>
    <w:rsid w:val="00C30667"/>
    <w:rsid w:val="00C41739"/>
    <w:rsid w:val="00CC0538"/>
    <w:rsid w:val="00D27213"/>
    <w:rsid w:val="00DB277E"/>
    <w:rsid w:val="00DC31A5"/>
    <w:rsid w:val="00DE7BB5"/>
    <w:rsid w:val="00E04135"/>
    <w:rsid w:val="00E26EDE"/>
    <w:rsid w:val="00E41EF9"/>
    <w:rsid w:val="00E45B6D"/>
    <w:rsid w:val="00E521FD"/>
    <w:rsid w:val="00E83F73"/>
    <w:rsid w:val="00F2327E"/>
    <w:rsid w:val="00F7551C"/>
    <w:rsid w:val="00F85E43"/>
    <w:rsid w:val="00F9244E"/>
    <w:rsid w:val="00F93D86"/>
    <w:rsid w:val="00FB2D06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B528B"/>
    <w:rPr>
      <w:sz w:val="24"/>
      <w:szCs w:val="24"/>
    </w:rPr>
  </w:style>
  <w:style w:type="character" w:customStyle="1" w:styleId="aa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9"/>
    <w:uiPriority w:val="34"/>
    <w:locked/>
    <w:rsid w:val="00DE7BB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1&amp;dst=1000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90&amp;dst=4377" TargetMode="External"/><Relationship Id="rId12" Type="http://schemas.openxmlformats.org/officeDocument/2006/relationships/hyperlink" Target="consultantplus://offline/ref=31DD3E7F8ABC5B00576C4E487D0D6DFF00B9C66BAA43216E16441C7D1DBE88582DD3C13E4BC7D6F98F914081840C82E0F972985D41A507C5GFm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login.consultant.ru/link/?req=doc&amp;base=LAW&amp;n=384040&amp;dst=100379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384040&amp;dst=101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185&amp;dst=1022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33</cp:revision>
  <dcterms:created xsi:type="dcterms:W3CDTF">2019-08-05T12:55:00Z</dcterms:created>
  <dcterms:modified xsi:type="dcterms:W3CDTF">2025-04-29T13:56:00Z</dcterms:modified>
</cp:coreProperties>
</file>