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СОВЕТ 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142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РЕШЕНИЕ</w:t>
      </w:r>
    </w:p>
    <w:p>
      <w:pPr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03.05.2024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76</w:t>
      </w:r>
    </w:p>
    <w:p>
      <w:pPr>
        <w:spacing w:after="0"/>
        <w:ind w:firstLine="700" w:firstLineChars="250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.Мякса</w:t>
      </w:r>
    </w:p>
    <w:p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О внесении изменений в решение Совета сельского поселения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Мяксинское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от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10.08.2022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№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203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«Об утверждении Правил благоустройства территории сельского поселения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»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Совет 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,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РЕШИЛ:</w:t>
      </w:r>
      <w:bookmarkStart w:id="2" w:name="_GoBack"/>
      <w:bookmarkEnd w:id="2"/>
    </w:p>
    <w:p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Внести в Правила благоустройства территории 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, утвержденные решением Совета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сельского поселения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Мяксинское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от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10.08.2022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№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203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(далее – Правила) изменения следующего содержания:</w:t>
      </w:r>
    </w:p>
    <w:p>
      <w:pPr>
        <w:pStyle w:val="11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Главу 7 Правил изложить в новой редакции: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Глава 7. Обеспечение надлежащего содержания объектов благоустройства 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Собственники и (или) иные законные владельцы зданий, строений, сооружений обязаны содержать фасады указанных объектов состоянии, обеспечивающим их соответствие  требованиям законодательства Российской Федерации, законодательства области и муниципальных правовых актов органов местного самоуправления».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раз в неделю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Домовые знаки на зданиях, сооружениях должны содержаться в исправном состоянии.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Высота домового указателя должна быть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300 мм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 Ширина таблички зависит от количества букв в названии улицы.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Табличка выполняется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в белом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цвете. По периметру таблички располагается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черная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рамка шириной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Название улиц и номера домов выполняются 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в черном цвете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Шрифт названия улиц на русском языке, высота заглавных букв –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90 мм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шрифта номера дома –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140 мм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Адресные аншлаги могут иметь подсветку.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25 метров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быть размещен дополнительный домовой указатель с левой стороны фасада.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0" w:name="_Hlk14967170"/>
      <w:r>
        <w:rPr>
          <w:rFonts w:ascii="Times New Roman" w:hAnsi="Times New Roman"/>
          <w:color w:val="000000"/>
          <w:sz w:val="26"/>
          <w:szCs w:val="26"/>
          <w:lang w:eastAsia="ru-RU"/>
        </w:rPr>
        <w:t>на каждом строении.</w:t>
      </w:r>
    </w:p>
    <w:bookmarkEnd w:id="0"/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7.9. Аншлаги устанавливаются на высоте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от 2,5 до 5,0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уровня земли на расстоянии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1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угла здания.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7.10. Содержание фасадов объектов включает: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герметизацию, заделку и расшивку швов, трещин и выбоин;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мытье окон и витрин, вывесок и указателей;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очистку от надписей, рисунков, графических изображений, объявления рекламной информации, афиш, плакатов и иной информационно- печатной продукции, самовольно размещенных на фасадах зданий, строений, сооружений вне мест специально отведенных для их размещения на фасадах таких объектов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 xml:space="preserve"> 7.10.1. Требования, установленные к содержанию внешнего вида фасадов зданий, строений, сооружений настоящими Правилами, применяются в частности,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 xml:space="preserve">7.10.2. В целях выявления дефектов проводятся осмотры фасадов 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зданий, строений, сооружений.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7.10.3. К дефектам внешнего вида фасадов зданий, строений, сооружений(далее – дефекты) относятся: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местные разрушения облицовки, штукатурки, фактурного и окрасочного слоев;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трещины в штукатурке;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выкрашиваение раствора из швов облицовки, кирпичной и мелкоблочной кладки;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разрушение герметизирующих заделок стуков полносборных зданий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повреждение и износ металлических покрытий на выступающих частях стен;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-разрушение водосточных труб;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мокрые и ржавые пятна, потеки и высолы;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общее загрязнение поверхности;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разрушения парапетов;</w:t>
      </w:r>
    </w:p>
    <w:p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- иные дефекты внешнего вида фасадов.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  <w:highlight w:val="none"/>
          <w:lang w:val="en-US"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7.10.4. Проведение ремонтных работ по устранению выявленных дефектов производится в сроки, установленные муниципальными правовыми актами сельского поселения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en-US" w:eastAsia="ru-RU"/>
        </w:rPr>
        <w:t xml:space="preserve"> Мяксинское</w:t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»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en-US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 xml:space="preserve">7.10.5. При обнаружении дефектов, угрожающих безопасности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или здоровью животных и растений, зона или пространство, где могут находится граждане, имущество, животные и растения, обозначаются сигнальной разметкой не позднее дня, следующего за днем обнаружения дефектов.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7.10.6. Окраска, фасадов зданий, строений, сооружений проводится с учетом срока службы используемых материалов и их характеристик, установленных производителем.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Окрашенные поверхности фасадов должны быть ровными, без помарок, пятен и поврежденных мест.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 xml:space="preserve"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  <w:lang w:eastAsia="ru-RU"/>
        </w:rPr>
        <w:t>7.10.7. Фасады зданий, строений, сооружений следует очищать и промывать, учитывая материал и характер отделки, а также состояние поверхностей стен зданий.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- произведение надписей на фасадах зданий (сооружений, строений);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расклейка газет, плакатов, афиш, объявлений, рекламных проспектов и иной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1" w:name="_Hlk14967236"/>
    </w:p>
    <w:bookmarkEnd w:id="1"/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>
      <w:pPr>
        <w:pStyle w:val="11"/>
        <w:spacing w:after="0" w:line="240" w:lineRule="auto"/>
        <w:ind w:left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К вывескам предъявляются следующие требования: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3) вывески должны размещаться на участке фасада, свободном от архитектурных деталей;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 два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Допустимый размер вывески составляет: по горизонтали -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0,6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вертикали -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0,4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букв, знаков, размещаемых на вывеске, -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0,1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выше линии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 (линии перекрытий между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первым и вторым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этажами) зданий, сооружений;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0,5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высоте) и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60%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длине).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2,5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Высота вывесок, размещаемых на крышах зданий, сооружений, должна быть: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0,8 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для 1-2-этажных объектов;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1,2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3-5-этажных объектов.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7.20. Вывески площадью более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6,5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Установка и эксплуатация таких вывесок без проектной документации не допускается.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7.21. Не допускается: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вывесок, не соответствующих требованиям настоящих Правил;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козырьках, лоджиях, балконах и эркерах зданий;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на расстоянии ближе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мемориальных досок;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в виде надувных конструкций, штендеров.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 суток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7.27. При проектировании освещения и осветительного оборудования следует обеспечивать: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удобство обслуживания и управления при разных режимах работы установок.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а) наличие свободной площади на благоустраиваемой территории;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в) защита от образования наледи и снежных заносов, обеспечение стока воды;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д) возраст потенциальных пользователей малых архитектурных форм;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з) возможность ремонта или замены деталей малых архитектурных форм;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и) интенсивность пешеходного и автомобильного движения, близость транспортных узлов;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м) безопасность для потенциальных пользователей.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а) расположения малых архитектурных форм, не создающего препятствий для пешеходов;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в) устойчивости конструкции;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7.36. При размещении уличной мебели допускается: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б) скамьи без спинок, оборудованные местом для сумок;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в) опоры у скамеек, предназначенных для людей с ограниченными возможностями;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г) ограждения (в местах необходимости обеспечения защиты пешеходов от наезда автомобилей);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д) кадки, цветочницы, вазоны, кашпо, в том числе подвесные;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е) урны.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б) скамьи, предполагающие длительное, комфортное сидение;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в) цветочницы, вазоны, кашпо;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г) информационные стенды;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д) ограждения (в местах необходимости обеспечения защиты пешеходов от наезда автомобилей);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е) столы для настольных игр;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ж) урны.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7.40. В целях защиты малых архитектурных форм от графического вандализма следует: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7.43. В целях благоустройства на территории поселения могут устанавливаться ограждения.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Ограждения земельных участков устанавливают высотой до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>7.48. Содержание внешнего вида заборов и иных ограждений на территории  сельского поселения</w:t>
      </w:r>
      <w:r>
        <w:rPr>
          <w:rFonts w:hint="default" w:ascii="Times New Roman" w:hAnsi="Times New Roman"/>
          <w:color w:val="000000"/>
          <w:sz w:val="26"/>
          <w:szCs w:val="26"/>
          <w:highlight w:val="none"/>
          <w:lang w:val="en-US" w:eastAsia="ru-RU"/>
        </w:rPr>
        <w:t xml:space="preserve"> Мяксинское</w:t>
      </w: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>7.48.1.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highlight w:val="none"/>
          <w:lang w:eastAsia="ru-RU"/>
        </w:rPr>
        <w:t xml:space="preserve">7.48.2. Требования, установленные к содержанию внешнего вида заборов и иных ограждений </w:t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настоящим Правилом, применяются в части, не противоречащей законодательству области сохранения, популяризации и  охраны объектов культурного наследия (памятников истории и культуры) народов Российской Федерации.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7.48.3. В целях выявления дефектов проводятся осмотры заборов и иных ограждений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7.48.4. К дефектам внешнего вида заборов и иных ограждений относятся: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повреждение красочного покрытия (в том числе меление, растрескивание, выветривание, вздутие или сморщивание краски;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-наличие трещин, разломов;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-повреждение или разрушение кирпичной, или каменой кладки, архитектурных деталей и других элементов;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провисание или разрывы сетчатых элементов;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>- расстройства болтовых, закрепочных, сварочных, иных соединений конструкций;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 xml:space="preserve"> И иные дефекты внешнего вида заборов и иных ограждений.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7.48.5.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загрязнения.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7.48.6. Окраска заборов и иных ограждений производится с учетом срока службы используемых материалов и их характеристик, установленных производителем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Металлические элементы и сварные соединения заборов и иных ограждений должны быть покрашены атмосферостойкими красками.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highlight w:val="none"/>
          <w:lang w:eastAsia="ru-RU"/>
        </w:rPr>
        <w:tab/>
      </w:r>
      <w:r>
        <w:rPr>
          <w:rFonts w:ascii="Times New Roman" w:hAnsi="Times New Roman"/>
          <w:sz w:val="26"/>
          <w:szCs w:val="26"/>
          <w:highlight w:val="none"/>
          <w:lang w:eastAsia="ru-RU"/>
        </w:rPr>
        <w:t>Окрашенные поверхности заборов и иных ограждений должны быть ровными, без помарок, пятен и поврежденных мест.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Некапитальные сооружения питания могут также оборудоваться туалетными кабинами.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1.2. Пункт 18.5 Главы 18 Правил дополнить абзацем следующего содержания: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«Срок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- плюс 5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vertAlign w:val="superscript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С и выше – не более 1 суток;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- плюс 4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vertAlign w:val="superscript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С и ниже – не более 3 суток.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области».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1.3. Правила благоустройства территории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сельского поселения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 дополнить главами 21, 22, 2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  следующего содержания: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« Глава 21. Уборка путей подъезда к строительным площадкам.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При эксплуатации строительных площадок  должны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Глава 22. Удаление борщевика Сосновского.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22.1. Правообладатели земельных участков и иные лица, несущее бремя содержания этих участков (за исключением земельных участков, на которых в соответствии с законодательством об особо охраняемых природных территориях исключена любая деятельность), обязаны проводить мероприятии по удалению борщевика Сосновского.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22.2. Мероприятия по удалению борщевика Сосновского проводятся химическим и (или) механическим способами.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22.3. 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22.4. Удаление борщевика Сосновского химическим способом выполняется путем обработки очагов произрастания растений борщевика Сосновского гербицидами.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22.5. Мероприятия по удалению борщевика Сосновского химическим и (или) механическим способами проводится двукратно. При этом проведение первичной обработки осуществляется до 15 июня, второй – до 1 сентября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Глава 23. Ответственность за нарушения требований к организации и производству уборочных работ.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Правообладатели земельных участков или иные лица, несущие бремя содержания этих участков, нарушившие требования к организации и производству уборочных работ, установленные правилами благоустройства территории муниципальных образований области, с учетом положений настоящего Единого стандарта, несут ответственность, установленную законом области от 08 декабря 2010 года № 2429-ОЗ «Об административных правонарушениях в Вологодской области». </w:t>
      </w:r>
      <w:r>
        <w:rPr>
          <w:rFonts w:ascii="Times New Roman" w:hAnsi="Times New Roman" w:eastAsia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numPr>
          <w:ilvl w:val="0"/>
          <w:numId w:val="2"/>
        </w:numPr>
        <w:spacing w:after="0" w:line="240" w:lineRule="auto"/>
        <w:ind w:left="390" w:leftChars="0" w:hanging="390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решение подлежит опубликованию в </w:t>
      </w:r>
      <w:r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</w:rPr>
        <w:t xml:space="preserve">нформационном </w:t>
      </w:r>
      <w:r>
        <w:rPr>
          <w:rFonts w:ascii="Times New Roman" w:hAnsi="Times New Roman"/>
          <w:sz w:val="26"/>
          <w:szCs w:val="26"/>
          <w:lang w:val="ru-RU"/>
        </w:rPr>
        <w:t>бюллетене</w:t>
      </w:r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  <w:lang w:val="ru-RU"/>
        </w:rPr>
        <w:t>Мяксинский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вестник</w:t>
      </w:r>
      <w:r>
        <w:rPr>
          <w:rFonts w:ascii="Times New Roman" w:hAnsi="Times New Roman"/>
          <w:sz w:val="26"/>
          <w:szCs w:val="26"/>
        </w:rPr>
        <w:t xml:space="preserve">» и размещению на официальном сайте Администрации </w:t>
      </w:r>
      <w:r>
        <w:rPr>
          <w:rFonts w:ascii="Times New Roman" w:hAnsi="Times New Roman"/>
          <w:sz w:val="26"/>
          <w:szCs w:val="26"/>
          <w:lang w:val="ru-RU"/>
        </w:rPr>
        <w:t>Череповецкого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>
      <w:pPr>
        <w:pStyle w:val="8"/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/>
          <w:sz w:val="26"/>
          <w:szCs w:val="26"/>
        </w:rPr>
      </w:pPr>
    </w:p>
    <w:p>
      <w:pPr>
        <w:pStyle w:val="12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2"/>
        <w:jc w:val="both"/>
        <w:rPr>
          <w:rFonts w:hint="default" w:ascii="Times New Roman" w:hAnsi="Times New Roman" w:eastAsia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Мяксинское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Л.Г.Киселева</w:t>
      </w: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sectPr>
      <w:headerReference r:id="rId5" w:type="default"/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C752F"/>
    <w:multiLevelType w:val="multilevel"/>
    <w:tmpl w:val="218C752F"/>
    <w:lvl w:ilvl="0" w:tentative="0">
      <w:start w:val="1"/>
      <w:numFmt w:val="decimal"/>
      <w:lvlText w:val="%1."/>
      <w:lvlJc w:val="left"/>
      <w:pPr>
        <w:ind w:left="1316" w:hanging="465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E775B"/>
    <w:multiLevelType w:val="multilevel"/>
    <w:tmpl w:val="343E775B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7181A"/>
    <w:rsid w:val="00023E17"/>
    <w:rsid w:val="00071608"/>
    <w:rsid w:val="00171E16"/>
    <w:rsid w:val="00175F04"/>
    <w:rsid w:val="00190C1E"/>
    <w:rsid w:val="00191215"/>
    <w:rsid w:val="00213E17"/>
    <w:rsid w:val="002B1C2E"/>
    <w:rsid w:val="00447CB3"/>
    <w:rsid w:val="00476BF8"/>
    <w:rsid w:val="004A260B"/>
    <w:rsid w:val="004D79F5"/>
    <w:rsid w:val="00522162"/>
    <w:rsid w:val="00671252"/>
    <w:rsid w:val="006A63C3"/>
    <w:rsid w:val="006B486F"/>
    <w:rsid w:val="006B6333"/>
    <w:rsid w:val="006C3955"/>
    <w:rsid w:val="007118FF"/>
    <w:rsid w:val="008A649E"/>
    <w:rsid w:val="008D2F50"/>
    <w:rsid w:val="009026A4"/>
    <w:rsid w:val="00934342"/>
    <w:rsid w:val="009A65EB"/>
    <w:rsid w:val="009C138D"/>
    <w:rsid w:val="009C6DB3"/>
    <w:rsid w:val="009D6C02"/>
    <w:rsid w:val="009E0CF4"/>
    <w:rsid w:val="00A062F4"/>
    <w:rsid w:val="00B07341"/>
    <w:rsid w:val="00B92C9B"/>
    <w:rsid w:val="00C45788"/>
    <w:rsid w:val="00CA69AC"/>
    <w:rsid w:val="00D87185"/>
    <w:rsid w:val="00D9583F"/>
    <w:rsid w:val="00DB159A"/>
    <w:rsid w:val="00E40013"/>
    <w:rsid w:val="00F12284"/>
    <w:rsid w:val="00F62352"/>
    <w:rsid w:val="00F6334A"/>
    <w:rsid w:val="00FA0580"/>
    <w:rsid w:val="00FF4627"/>
    <w:rsid w:val="2127181A"/>
    <w:rsid w:val="3B561AE4"/>
    <w:rsid w:val="58EB4599"/>
    <w:rsid w:val="5BB7B1BC"/>
    <w:rsid w:val="75E91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customStyle="1" w:styleId="6">
    <w:name w:val="Стиль1"/>
    <w:basedOn w:val="1"/>
    <w:link w:val="7"/>
    <w:qFormat/>
    <w:uiPriority w:val="1"/>
    <w:pPr>
      <w:spacing w:after="0"/>
      <w:ind w:firstLine="709"/>
      <w:jc w:val="both"/>
    </w:pPr>
    <w:rPr>
      <w:rFonts w:ascii="Times New Roman" w:hAnsi="Times New Roman" w:eastAsia="Calibri" w:cs="Times New Roman"/>
      <w:sz w:val="28"/>
      <w:szCs w:val="28"/>
    </w:rPr>
  </w:style>
  <w:style w:type="character" w:customStyle="1" w:styleId="7">
    <w:name w:val="Стиль1 Знак"/>
    <w:basedOn w:val="2"/>
    <w:link w:val="6"/>
    <w:qFormat/>
    <w:uiPriority w:val="1"/>
    <w:rPr>
      <w:rFonts w:ascii="Times New Roman" w:hAnsi="Times New Roman" w:eastAsia="Calibri" w:cs="Times New Roman"/>
      <w:sz w:val="28"/>
      <w:szCs w:val="28"/>
    </w:rPr>
  </w:style>
  <w:style w:type="paragraph" w:customStyle="1" w:styleId="8">
    <w:name w:val="ConsPlusNormal"/>
    <w:basedOn w:val="1"/>
    <w:link w:val="9"/>
    <w:qFormat/>
    <w:uiPriority w:val="1"/>
    <w:pPr>
      <w:widowControl w:val="0"/>
      <w:ind w:firstLine="720"/>
    </w:pPr>
    <w:rPr>
      <w:rFonts w:ascii="Arial" w:hAnsi="Arial" w:eastAsia="Calibri" w:cs="Times New Roman"/>
      <w:lang w:eastAsia="ar-SA"/>
    </w:rPr>
  </w:style>
  <w:style w:type="character" w:customStyle="1" w:styleId="9">
    <w:name w:val="ConsPlusNormal Знак"/>
    <w:basedOn w:val="2"/>
    <w:link w:val="8"/>
    <w:uiPriority w:val="1"/>
    <w:rPr>
      <w:rFonts w:ascii="Arial" w:hAnsi="Arial" w:eastAsia="Calibri" w:cs="Times New Roman"/>
      <w:sz w:val="22"/>
      <w:szCs w:val="22"/>
      <w:lang w:eastAsia="ar-SA" w:bidi="ar-SA"/>
    </w:rPr>
  </w:style>
  <w:style w:type="character" w:customStyle="1" w:styleId="10">
    <w:name w:val="Основной текст2"/>
    <w:basedOn w:val="2"/>
    <w:uiPriority w:val="99"/>
    <w:rPr>
      <w:color w:val="000000" w:themeColor="text1"/>
      <w:sz w:val="26"/>
      <w:szCs w:val="26"/>
      <w:u w:val="none"/>
      <w:lang w:val="ru-RU"/>
      <w14:textFill>
        <w14:solidFill>
          <w14:schemeClr w14:val="tx1"/>
        </w14:solidFill>
      </w14:textFill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A13F-DF32-49DB-8B66-E5E25EDE06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5787</Words>
  <Characters>32991</Characters>
  <Lines>274</Lines>
  <Paragraphs>77</Paragraphs>
  <TotalTime>37</TotalTime>
  <ScaleCrop>false</ScaleCrop>
  <LinksUpToDate>false</LinksUpToDate>
  <CharactersWithSpaces>38701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2024-03-07T08:58:00Z</dcterms:created>
  <dc:creator>Шинакова Светлана</dc:creator>
  <cp:lastModifiedBy>WPS_1709808173</cp:lastModifiedBy>
  <cp:lastPrinted>2024-03-19T07:09:00Z</cp:lastPrinted>
  <dcterms:modified xsi:type="dcterms:W3CDTF">2024-05-06T05:15:03Z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FEE02466900843C485B10E77DAE74F79_13</vt:lpwstr>
  </property>
</Properties>
</file>