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15" w:rsidRDefault="00380015" w:rsidP="00380015">
      <w:pPr>
        <w:ind w:left="142"/>
        <w:contextualSpacing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8B61C1" w:rsidSect="00192ED9">
          <w:pgSz w:w="16838" w:h="11906" w:orient="landscape" w:code="9"/>
          <w:pgMar w:top="1701" w:right="1021" w:bottom="707" w:left="851" w:header="709" w:footer="709" w:gutter="0"/>
          <w:cols w:space="708"/>
          <w:docGrid w:linePitch="381"/>
        </w:sectPr>
      </w:pPr>
    </w:p>
    <w:p w:rsidR="008B61C1" w:rsidRP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lastRenderedPageBreak/>
        <w:t>АДМИНИСТРАЦИЯ МАЛЕЧКИНСКОГО СЕЛЬСКОГО ПОСЕЛЕНИЯ</w:t>
      </w:r>
    </w:p>
    <w:p w:rsidR="008B61C1" w:rsidRP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61C1" w:rsidRP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B61C1" w:rsidRP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t>ПОСТАНОВЛЕНИЕ</w:t>
      </w:r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от  </w:t>
      </w:r>
      <w:r>
        <w:rPr>
          <w:rFonts w:eastAsia="Times New Roman" w:cs="Times New Roman"/>
          <w:color w:val="000000"/>
          <w:szCs w:val="28"/>
          <w:lang w:eastAsia="ru-RU"/>
        </w:rPr>
        <w:t>21.10</w:t>
      </w:r>
      <w:r w:rsidRPr="008B61C1">
        <w:rPr>
          <w:rFonts w:eastAsia="Times New Roman" w:cs="Times New Roman"/>
          <w:color w:val="000000"/>
          <w:szCs w:val="28"/>
          <w:lang w:eastAsia="ru-RU"/>
        </w:rPr>
        <w:t>.202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  <w:proofErr w:type="gramEnd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года </w:t>
      </w:r>
      <w:r w:rsidRPr="008B61C1">
        <w:rPr>
          <w:rFonts w:eastAsia="Times New Roman" w:cs="Times New Roman"/>
          <w:color w:val="000000"/>
          <w:szCs w:val="28"/>
          <w:lang w:eastAsia="ru-RU"/>
        </w:rPr>
        <w:tab/>
      </w:r>
      <w:r w:rsidRPr="008B61C1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  № </w:t>
      </w:r>
      <w:r>
        <w:rPr>
          <w:rFonts w:eastAsia="Times New Roman" w:cs="Times New Roman"/>
          <w:color w:val="000000"/>
          <w:szCs w:val="28"/>
          <w:lang w:eastAsia="ru-RU"/>
        </w:rPr>
        <w:t>88</w:t>
      </w:r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B61C1">
        <w:rPr>
          <w:rFonts w:eastAsia="Times New Roman" w:cs="Times New Roman"/>
          <w:color w:val="000000"/>
          <w:szCs w:val="28"/>
          <w:lang w:eastAsia="ru-RU"/>
        </w:rPr>
        <w:t>п.Малечкино</w:t>
      </w:r>
      <w:proofErr w:type="spellEnd"/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t>О прогнозе социально-экономического развития</w:t>
      </w:r>
    </w:p>
    <w:p w:rsidR="008B61C1" w:rsidRPr="008B61C1" w:rsidRDefault="008B61C1" w:rsidP="008B61C1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B61C1">
        <w:rPr>
          <w:rFonts w:eastAsia="Times New Roman" w:cs="Times New Roman"/>
          <w:color w:val="000000"/>
          <w:szCs w:val="28"/>
          <w:lang w:eastAsia="ru-RU"/>
        </w:rPr>
        <w:t>Малечкинского</w:t>
      </w:r>
      <w:proofErr w:type="spellEnd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на 202</w:t>
      </w:r>
      <w:r w:rsidR="00073B62">
        <w:rPr>
          <w:rFonts w:eastAsia="Times New Roman" w:cs="Times New Roman"/>
          <w:color w:val="000000"/>
          <w:szCs w:val="28"/>
          <w:lang w:eastAsia="ru-RU"/>
        </w:rPr>
        <w:t>5</w:t>
      </w:r>
      <w:r w:rsidRPr="008B61C1">
        <w:rPr>
          <w:rFonts w:eastAsia="Times New Roman" w:cs="Times New Roman"/>
          <w:color w:val="000000"/>
          <w:szCs w:val="28"/>
          <w:lang w:eastAsia="ru-RU"/>
        </w:rPr>
        <w:t>-202</w:t>
      </w:r>
      <w:r w:rsidR="00073B62">
        <w:rPr>
          <w:rFonts w:eastAsia="Times New Roman" w:cs="Times New Roman"/>
          <w:color w:val="000000"/>
          <w:szCs w:val="28"/>
          <w:lang w:eastAsia="ru-RU"/>
        </w:rPr>
        <w:t>7</w:t>
      </w:r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годы</w:t>
      </w:r>
    </w:p>
    <w:p w:rsidR="008B61C1" w:rsidRPr="008B61C1" w:rsidRDefault="008B61C1" w:rsidP="008B61C1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B61C1" w:rsidRPr="008B61C1" w:rsidRDefault="008B61C1" w:rsidP="008B61C1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t>В соответствии со статьями 169 и 173 Бюджетно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го Кодекса Российской Федерации, постановлением Администрации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Малечкинского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от 18.10.2024 № 87 «Об утверждении Порядка разработки прогноза социально-экономического развития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Малечкинского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поселения»</w:t>
      </w:r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8B61C1" w:rsidRPr="008B61C1" w:rsidRDefault="008B61C1" w:rsidP="008B61C1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B61C1">
        <w:rPr>
          <w:rFonts w:eastAsia="Times New Roman" w:cs="Times New Roman"/>
          <w:color w:val="000000"/>
          <w:szCs w:val="28"/>
          <w:lang w:eastAsia="ru-RU"/>
        </w:rPr>
        <w:t>ПОСТАНОВЛЯЮ:</w:t>
      </w:r>
    </w:p>
    <w:p w:rsidR="008B61C1" w:rsidRPr="008B61C1" w:rsidRDefault="008B61C1" w:rsidP="008B61C1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8B61C1" w:rsidRPr="008B61C1" w:rsidRDefault="008B61C1" w:rsidP="008B61C1">
      <w:pPr>
        <w:spacing w:after="0"/>
        <w:ind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proofErr w:type="gramStart"/>
      <w:r w:rsidRPr="008B61C1">
        <w:rPr>
          <w:rFonts w:eastAsia="Times New Roman" w:cs="Times New Roman"/>
          <w:color w:val="000000"/>
          <w:szCs w:val="28"/>
          <w:lang w:eastAsia="ru-RU"/>
        </w:rPr>
        <w:t>Одобрить  прилагаемый</w:t>
      </w:r>
      <w:proofErr w:type="gramEnd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 Прогноз социально-экономического развития </w:t>
      </w:r>
      <w:proofErr w:type="spellStart"/>
      <w:r w:rsidRPr="008B61C1">
        <w:rPr>
          <w:rFonts w:eastAsia="Times New Roman" w:cs="Times New Roman"/>
          <w:color w:val="000000"/>
          <w:szCs w:val="28"/>
          <w:lang w:eastAsia="ru-RU"/>
        </w:rPr>
        <w:t>Малечкинского</w:t>
      </w:r>
      <w:proofErr w:type="spellEnd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на 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8B61C1">
        <w:rPr>
          <w:rFonts w:eastAsia="Times New Roman" w:cs="Times New Roman"/>
          <w:color w:val="000000"/>
          <w:szCs w:val="28"/>
          <w:lang w:eastAsia="ru-RU"/>
        </w:rPr>
        <w:t>-20</w:t>
      </w:r>
      <w:r>
        <w:rPr>
          <w:rFonts w:eastAsia="Times New Roman" w:cs="Times New Roman"/>
          <w:color w:val="000000"/>
          <w:szCs w:val="28"/>
          <w:lang w:eastAsia="ru-RU"/>
        </w:rPr>
        <w:t>27</w:t>
      </w:r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годы, применяемый для составления проекта бюджета </w:t>
      </w:r>
      <w:proofErr w:type="spellStart"/>
      <w:r w:rsidRPr="008B61C1">
        <w:rPr>
          <w:rFonts w:eastAsia="Times New Roman" w:cs="Times New Roman"/>
          <w:color w:val="000000"/>
          <w:szCs w:val="28"/>
          <w:lang w:eastAsia="ru-RU"/>
        </w:rPr>
        <w:t>Малечкинского</w:t>
      </w:r>
      <w:proofErr w:type="spellEnd"/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на 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год и </w:t>
      </w:r>
      <w:r>
        <w:rPr>
          <w:rFonts w:eastAsia="Times New Roman" w:cs="Times New Roman"/>
          <w:color w:val="000000"/>
          <w:szCs w:val="28"/>
          <w:lang w:eastAsia="ru-RU"/>
        </w:rPr>
        <w:t>плановый период 2026</w:t>
      </w:r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и 202</w:t>
      </w: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Pr="008B61C1">
        <w:rPr>
          <w:rFonts w:eastAsia="Times New Roman" w:cs="Times New Roman"/>
          <w:color w:val="000000"/>
          <w:szCs w:val="28"/>
          <w:lang w:eastAsia="ru-RU"/>
        </w:rPr>
        <w:t xml:space="preserve"> годов. </w:t>
      </w:r>
    </w:p>
    <w:p w:rsidR="008B61C1" w:rsidRDefault="008B61C1" w:rsidP="008B61C1">
      <w:pPr>
        <w:spacing w:after="0"/>
        <w:ind w:firstLine="708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2"/>
          <w:szCs w:val="28"/>
        </w:rPr>
        <w:t xml:space="preserve">2. </w:t>
      </w:r>
      <w:r w:rsidRPr="008B61C1">
        <w:rPr>
          <w:rFonts w:eastAsia="Times New Roman" w:cs="Times New Roman"/>
          <w:spacing w:val="2"/>
          <w:szCs w:val="28"/>
        </w:rPr>
        <w:t xml:space="preserve">Настоящее постановление подлежит официальному опубликованию </w:t>
      </w:r>
      <w:r w:rsidRPr="008B61C1">
        <w:rPr>
          <w:rFonts w:eastAsia="Times New Roman" w:cs="Times New Roman"/>
          <w:szCs w:val="28"/>
        </w:rPr>
        <w:t xml:space="preserve">в «Информационном вестнике </w:t>
      </w:r>
      <w:proofErr w:type="spellStart"/>
      <w:r w:rsidRPr="008B61C1">
        <w:rPr>
          <w:rFonts w:eastAsia="Times New Roman" w:cs="Times New Roman"/>
          <w:szCs w:val="28"/>
        </w:rPr>
        <w:t>Малечкинского</w:t>
      </w:r>
      <w:proofErr w:type="spellEnd"/>
      <w:r w:rsidRPr="008B61C1">
        <w:rPr>
          <w:rFonts w:eastAsia="Times New Roman" w:cs="Times New Roman"/>
          <w:szCs w:val="28"/>
        </w:rPr>
        <w:t xml:space="preserve"> сельского поселения», а также размещению на официальном сайте Череповецкого муниципального района в информационно-телек</w:t>
      </w:r>
      <w:r>
        <w:rPr>
          <w:rFonts w:eastAsia="Times New Roman" w:cs="Times New Roman"/>
          <w:szCs w:val="28"/>
        </w:rPr>
        <w:t>оммуникационной сети «Интернет».</w:t>
      </w:r>
    </w:p>
    <w:p w:rsidR="008B61C1" w:rsidRDefault="008B61C1" w:rsidP="008B61C1">
      <w:pPr>
        <w:spacing w:after="0"/>
        <w:ind w:firstLine="708"/>
        <w:contextualSpacing/>
        <w:jc w:val="both"/>
        <w:rPr>
          <w:rFonts w:eastAsia="Times New Roman" w:cs="Times New Roman"/>
          <w:szCs w:val="28"/>
        </w:rPr>
      </w:pPr>
    </w:p>
    <w:p w:rsidR="008B61C1" w:rsidRDefault="008B61C1" w:rsidP="008B61C1">
      <w:pPr>
        <w:spacing w:after="0"/>
        <w:contextualSpacing/>
        <w:jc w:val="both"/>
        <w:rPr>
          <w:rFonts w:eastAsia="Times New Roman" w:cs="Times New Roman"/>
          <w:szCs w:val="28"/>
        </w:rPr>
      </w:pPr>
    </w:p>
    <w:p w:rsidR="008B61C1" w:rsidRDefault="008B61C1" w:rsidP="008B61C1">
      <w:pPr>
        <w:spacing w:after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</w:t>
      </w:r>
      <w:proofErr w:type="spellStart"/>
      <w:r>
        <w:rPr>
          <w:rFonts w:eastAsia="Times New Roman" w:cs="Times New Roman"/>
          <w:szCs w:val="28"/>
        </w:rPr>
        <w:t>Малечкинского</w:t>
      </w:r>
      <w:proofErr w:type="spellEnd"/>
      <w:r>
        <w:rPr>
          <w:rFonts w:eastAsia="Times New Roman" w:cs="Times New Roman"/>
          <w:szCs w:val="28"/>
        </w:rPr>
        <w:t xml:space="preserve"> </w:t>
      </w:r>
    </w:p>
    <w:p w:rsidR="008B61C1" w:rsidRDefault="008B61C1" w:rsidP="008B61C1">
      <w:pPr>
        <w:spacing w:after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сельского поселения                                                      </w:t>
      </w:r>
      <w:proofErr w:type="spellStart"/>
      <w:r>
        <w:rPr>
          <w:rFonts w:eastAsia="Times New Roman" w:cs="Times New Roman"/>
          <w:szCs w:val="28"/>
        </w:rPr>
        <w:t>О.В.Муравьева</w:t>
      </w:r>
      <w:proofErr w:type="spellEnd"/>
      <w:r>
        <w:rPr>
          <w:rFonts w:eastAsia="Times New Roman" w:cs="Times New Roman"/>
          <w:szCs w:val="28"/>
        </w:rPr>
        <w:t xml:space="preserve">                                                                              </w:t>
      </w:r>
    </w:p>
    <w:p w:rsidR="008B61C1" w:rsidRDefault="008B61C1" w:rsidP="008B61C1">
      <w:pPr>
        <w:spacing w:after="0"/>
        <w:contextualSpacing/>
        <w:jc w:val="both"/>
        <w:rPr>
          <w:rFonts w:eastAsia="Times New Roman" w:cs="Times New Roman"/>
          <w:szCs w:val="28"/>
        </w:rPr>
      </w:pPr>
    </w:p>
    <w:p w:rsidR="008B61C1" w:rsidRDefault="008B61C1" w:rsidP="008B61C1">
      <w:pPr>
        <w:spacing w:after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</w:p>
    <w:p w:rsidR="008B61C1" w:rsidRPr="008B61C1" w:rsidRDefault="008B61C1" w:rsidP="008B61C1">
      <w:pPr>
        <w:spacing w:after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  <w:sectPr w:rsidR="008B61C1" w:rsidRPr="008B61C1" w:rsidSect="008B61C1">
          <w:pgSz w:w="11906" w:h="16838" w:code="9"/>
          <w:pgMar w:top="1021" w:right="709" w:bottom="851" w:left="1701" w:header="709" w:footer="709" w:gutter="0"/>
          <w:cols w:space="708"/>
          <w:docGrid w:linePitch="381"/>
        </w:sectPr>
      </w:pPr>
    </w:p>
    <w:p w:rsidR="008B61C1" w:rsidRDefault="008B61C1" w:rsidP="008B61C1">
      <w:pPr>
        <w:contextualSpacing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</w:p>
    <w:p w:rsidR="008B61C1" w:rsidRDefault="008B61C1" w:rsidP="008B61C1">
      <w:pPr>
        <w:contextualSpacing/>
        <w:jc w:val="righ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lastRenderedPageBreak/>
        <w:t>Приложение</w:t>
      </w:r>
    </w:p>
    <w:p w:rsidR="00380015" w:rsidRDefault="00380015" w:rsidP="008B61C1">
      <w:pPr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ПЕРЕЧЕНЬ</w:t>
      </w:r>
    </w:p>
    <w:p w:rsidR="00380015" w:rsidRDefault="006D5927" w:rsidP="00380015">
      <w:pPr>
        <w:ind w:left="142"/>
        <w:contextualSpacing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разделов (</w:t>
      </w:r>
      <w:r w:rsidR="00380015" w:rsidRPr="003B4375">
        <w:rPr>
          <w:rFonts w:eastAsia="Times New Roman" w:cs="Times New Roman"/>
          <w:sz w:val="26"/>
          <w:szCs w:val="26"/>
        </w:rPr>
        <w:t>показател</w:t>
      </w:r>
      <w:r w:rsidR="00380015">
        <w:rPr>
          <w:rFonts w:eastAsia="Times New Roman" w:cs="Times New Roman"/>
          <w:sz w:val="26"/>
          <w:szCs w:val="26"/>
        </w:rPr>
        <w:t>ей</w:t>
      </w:r>
      <w:r>
        <w:rPr>
          <w:rFonts w:eastAsia="Times New Roman" w:cs="Times New Roman"/>
          <w:sz w:val="26"/>
          <w:szCs w:val="26"/>
        </w:rPr>
        <w:t>)</w:t>
      </w:r>
      <w:r w:rsidR="00380015" w:rsidRPr="003B4375">
        <w:rPr>
          <w:rFonts w:eastAsia="Times New Roman" w:cs="Times New Roman"/>
          <w:sz w:val="26"/>
          <w:szCs w:val="26"/>
        </w:rPr>
        <w:t xml:space="preserve"> </w:t>
      </w:r>
      <w:r w:rsidR="00380015">
        <w:rPr>
          <w:rFonts w:eastAsia="Times New Roman" w:cs="Times New Roman"/>
          <w:sz w:val="26"/>
          <w:szCs w:val="26"/>
        </w:rPr>
        <w:t xml:space="preserve">прогноза </w:t>
      </w:r>
      <w:r w:rsidR="00380015"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</w:p>
    <w:p w:rsidR="00A04DA0" w:rsidRDefault="00A04DA0" w:rsidP="00380015">
      <w:pPr>
        <w:ind w:left="142"/>
        <w:contextualSpacing/>
        <w:jc w:val="center"/>
        <w:rPr>
          <w:rFonts w:eastAsia="Times New Roman" w:cs="Times New Roman"/>
          <w:sz w:val="26"/>
          <w:szCs w:val="26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7673"/>
        <w:gridCol w:w="1134"/>
        <w:gridCol w:w="1042"/>
        <w:gridCol w:w="1399"/>
        <w:gridCol w:w="1126"/>
        <w:gridCol w:w="1071"/>
        <w:gridCol w:w="1071"/>
      </w:tblGrid>
      <w:tr w:rsidR="00192ED9" w:rsidRPr="002274EF" w:rsidTr="004C1A01">
        <w:trPr>
          <w:trHeight w:hRule="exact"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измере</w:t>
            </w:r>
            <w:r w:rsidR="004C1A01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Факт за 2023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534696">
            <w:pPr>
              <w:spacing w:line="252" w:lineRule="auto"/>
              <w:ind w:left="-127" w:right="-108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Ожидаемые итоги 2024 года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Прогноз на 2025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192ED9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Прогноз на 2026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192ED9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Прогноз на 2027 год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b/>
                <w:kern w:val="2"/>
                <w:sz w:val="24"/>
                <w:szCs w:val="24"/>
                <w:lang w:eastAsia="ru-RU"/>
              </w:rPr>
              <w:t>Территория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kern w:val="2"/>
                <w:sz w:val="24"/>
                <w:szCs w:val="24"/>
                <w:lang w:eastAsia="ru-RU"/>
              </w:rPr>
              <w:t>Число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kern w:val="2"/>
                <w:sz w:val="24"/>
                <w:szCs w:val="24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B6B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8170,4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B6B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8170,4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B6B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8170,4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B6B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8170,4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B6B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8170,4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Протяженность сетей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17,4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установленных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260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контейнеров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8B6B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Количество пожарных водоемов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Количество кладбищ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Площадь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11,2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Демография и трудовая 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постоянного населения поселения (на начало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CB6B5A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CB6B5A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2306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1137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детей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444</w:t>
            </w:r>
            <w:bookmarkStart w:id="0" w:name="_GoBack"/>
            <w:bookmarkEnd w:id="0"/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Площадь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1C1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CD120A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Жилые дома, зарегистрированные в собственность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</w:tr>
      <w:tr w:rsidR="00CD120A" w:rsidRPr="002274EF" w:rsidTr="004C1A01">
        <w:trPr>
          <w:trHeight w:hRule="exact" w:val="5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Жилые помещения (квартира, комната), зарегистрированные в собственность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567</w:t>
            </w:r>
          </w:p>
        </w:tc>
      </w:tr>
      <w:tr w:rsidR="00CD120A" w:rsidRPr="002274EF" w:rsidTr="004C1A01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машино</w:t>
            </w:r>
            <w:proofErr w:type="spellEnd"/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-место, зарегистрированные в собственность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CD120A" w:rsidRPr="002274EF" w:rsidTr="004C1A01">
        <w:trPr>
          <w:trHeight w:hRule="exact" w:val="5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Иные строения, помещения, сооружения, зарегистрированные   собственность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CD120A" w:rsidRPr="002274EF" w:rsidTr="004C1A01">
        <w:trPr>
          <w:trHeight w:hRule="exact"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20A" w:rsidRPr="002274EF" w:rsidRDefault="00CD120A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земельных участков, зарегистрированных в собственность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0A" w:rsidRPr="002274EF" w:rsidRDefault="00CD120A" w:rsidP="00B12944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1253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Социальная 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8B6B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Площадь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B6B5A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B6B5A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B6B5A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B6B5A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B6B5A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781,5</w:t>
            </w:r>
          </w:p>
        </w:tc>
      </w:tr>
      <w:tr w:rsidR="00192ED9" w:rsidRPr="002274EF" w:rsidTr="004C1A01">
        <w:trPr>
          <w:trHeight w:hRule="exact"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клубных формирований в домах культуры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CB6B5A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CB6B5A" w:rsidRPr="002274EF" w:rsidTr="004C1A01">
        <w:trPr>
          <w:trHeight w:val="4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5A" w:rsidRPr="002274EF" w:rsidRDefault="00CB6B5A" w:rsidP="00CB6B5A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5A" w:rsidRPr="002274EF" w:rsidRDefault="00CB6B5A" w:rsidP="00CB6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лиц, занимающихся на постоянной основе в кружках и клубных объединениях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B5A" w:rsidRPr="002274EF" w:rsidRDefault="00CB6B5A" w:rsidP="00CB6B5A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A" w:rsidRPr="00CB6B5A" w:rsidRDefault="00CB6B5A" w:rsidP="00CB6B5A">
            <w:pPr>
              <w:jc w:val="center"/>
              <w:rPr>
                <w:sz w:val="24"/>
                <w:szCs w:val="24"/>
              </w:rPr>
            </w:pPr>
            <w:r w:rsidRPr="00CB6B5A">
              <w:rPr>
                <w:sz w:val="24"/>
                <w:szCs w:val="24"/>
              </w:rPr>
              <w:t>362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A" w:rsidRPr="00CB6B5A" w:rsidRDefault="00CB6B5A" w:rsidP="00CB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A" w:rsidRPr="00CB6B5A" w:rsidRDefault="00CB6B5A" w:rsidP="00CB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A" w:rsidRPr="00CB6B5A" w:rsidRDefault="00CB6B5A" w:rsidP="00CB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5A" w:rsidRPr="00CB6B5A" w:rsidRDefault="00CB6B5A" w:rsidP="00CB6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</w:tr>
      <w:tr w:rsidR="00192ED9" w:rsidRPr="002274EF" w:rsidTr="004C1A01">
        <w:trPr>
          <w:trHeight w:val="3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D9" w:rsidRPr="002274EF" w:rsidRDefault="00192ED9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Количество лиц, занимающихся на постоянной основе физической культурой и спортом в секциях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D9" w:rsidRPr="002274EF" w:rsidRDefault="00192ED9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D9" w:rsidRPr="002274EF" w:rsidRDefault="004A38AE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28</w:t>
            </w:r>
          </w:p>
        </w:tc>
      </w:tr>
      <w:tr w:rsidR="00AE179F" w:rsidRPr="002274EF" w:rsidTr="004C1A01">
        <w:trPr>
          <w:trHeight w:val="2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F" w:rsidRPr="002274EF" w:rsidRDefault="00AE179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F" w:rsidRPr="002274EF" w:rsidRDefault="00AE179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Размер средней заработной платы работников отрасли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79F" w:rsidRPr="002274EF" w:rsidRDefault="00AE179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2274EF" w:rsidRDefault="00AE179F" w:rsidP="005C005C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49,5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Default="00AE179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53,1**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Default="00AE179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59,8**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Default="00AE179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59,8**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Default="00AE179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59,8**</w:t>
            </w:r>
          </w:p>
        </w:tc>
      </w:tr>
    </w:tbl>
    <w:p w:rsidR="004C1A01" w:rsidRDefault="004C1A01" w:rsidP="006C0B77">
      <w:pPr>
        <w:spacing w:after="0"/>
        <w:ind w:firstLine="709"/>
        <w:jc w:val="both"/>
        <w:rPr>
          <w:sz w:val="26"/>
          <w:szCs w:val="26"/>
        </w:rPr>
      </w:pPr>
    </w:p>
    <w:p w:rsidR="004B7AD6" w:rsidRPr="004B7AD6" w:rsidRDefault="004B7AD6" w:rsidP="004B7AD6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4B7AD6">
        <w:rPr>
          <w:rFonts w:eastAsia="Calibri" w:cs="Times New Roman"/>
          <w:sz w:val="26"/>
          <w:szCs w:val="26"/>
        </w:rPr>
        <w:t>* по которым начисляется налог к уплате</w:t>
      </w:r>
    </w:p>
    <w:p w:rsidR="004729D7" w:rsidRPr="004729D7" w:rsidRDefault="004729D7" w:rsidP="004729D7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4729D7">
        <w:rPr>
          <w:rFonts w:eastAsia="Calibri" w:cs="Times New Roman"/>
          <w:sz w:val="26"/>
          <w:szCs w:val="26"/>
        </w:rPr>
        <w:t xml:space="preserve">** предварительный </w:t>
      </w:r>
      <w:r w:rsidRPr="004729D7">
        <w:rPr>
          <w:rFonts w:eastAsia="Times New Roman" w:cs="Times New Roman"/>
          <w:sz w:val="26"/>
          <w:szCs w:val="26"/>
          <w:lang w:eastAsia="ru-RU"/>
        </w:rPr>
        <w:t>целевой показатель заработной платы по отрасли «Культура»</w:t>
      </w:r>
    </w:p>
    <w:p w:rsidR="004729D7" w:rsidRDefault="004729D7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</w:pPr>
    </w:p>
    <w:p w:rsidR="00696C99" w:rsidRDefault="00696C99" w:rsidP="006C0B77">
      <w:pPr>
        <w:spacing w:after="0"/>
        <w:ind w:firstLine="709"/>
        <w:jc w:val="both"/>
        <w:rPr>
          <w:sz w:val="26"/>
          <w:szCs w:val="26"/>
        </w:rPr>
        <w:sectPr w:rsidR="00696C99" w:rsidSect="00192ED9">
          <w:pgSz w:w="16838" w:h="11906" w:orient="landscape" w:code="9"/>
          <w:pgMar w:top="1701" w:right="1021" w:bottom="707" w:left="851" w:header="709" w:footer="709" w:gutter="0"/>
          <w:cols w:space="708"/>
          <w:docGrid w:linePitch="381"/>
        </w:sectPr>
      </w:pPr>
    </w:p>
    <w:p w:rsidR="00696C99" w:rsidRPr="00696C99" w:rsidRDefault="00696C99" w:rsidP="00696C99">
      <w:pPr>
        <w:spacing w:after="0"/>
        <w:jc w:val="center"/>
        <w:rPr>
          <w:rFonts w:eastAsia="Times New Roman" w:cs="Times New Roman"/>
          <w:sz w:val="26"/>
          <w:szCs w:val="26"/>
          <w:lang w:val="x-none" w:eastAsia="x-none"/>
        </w:rPr>
      </w:pPr>
      <w:r w:rsidRPr="00696C99">
        <w:rPr>
          <w:rFonts w:eastAsia="Times New Roman" w:cs="Times New Roman"/>
          <w:sz w:val="26"/>
          <w:szCs w:val="26"/>
          <w:lang w:val="x-none" w:eastAsia="x-none"/>
        </w:rPr>
        <w:lastRenderedPageBreak/>
        <w:t>ПОЯСНИТЕЛЬНАЯ ЗАПИСКА</w:t>
      </w:r>
    </w:p>
    <w:p w:rsidR="00696C99" w:rsidRPr="00696C99" w:rsidRDefault="00696C99" w:rsidP="008B6BEF">
      <w:pPr>
        <w:spacing w:after="0"/>
        <w:jc w:val="center"/>
        <w:rPr>
          <w:rFonts w:eastAsia="Times New Roman" w:cs="Times New Roman"/>
          <w:sz w:val="26"/>
          <w:szCs w:val="26"/>
          <w:lang w:val="x-none" w:eastAsia="x-none"/>
        </w:rPr>
      </w:pPr>
      <w:r w:rsidRPr="00696C99">
        <w:rPr>
          <w:rFonts w:eastAsia="Times New Roman" w:cs="Times New Roman"/>
          <w:sz w:val="26"/>
          <w:szCs w:val="26"/>
          <w:lang w:val="x-none" w:eastAsia="x-none"/>
        </w:rPr>
        <w:t xml:space="preserve">к прогнозу социально-экономического развития </w:t>
      </w:r>
      <w:proofErr w:type="spellStart"/>
      <w:r w:rsidRPr="00696C99">
        <w:rPr>
          <w:rFonts w:eastAsia="Times New Roman" w:cs="Times New Roman"/>
          <w:sz w:val="26"/>
          <w:szCs w:val="26"/>
          <w:lang w:eastAsia="x-none"/>
        </w:rPr>
        <w:t>Малечкинского</w:t>
      </w:r>
      <w:proofErr w:type="spellEnd"/>
      <w:r w:rsidRPr="00696C99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696C99">
        <w:rPr>
          <w:rFonts w:eastAsia="Times New Roman" w:cs="Times New Roman"/>
          <w:sz w:val="26"/>
          <w:szCs w:val="26"/>
          <w:lang w:val="x-none" w:eastAsia="x-none"/>
        </w:rPr>
        <w:t>сельского поселения на 20</w:t>
      </w:r>
      <w:r w:rsidRPr="00696C99">
        <w:rPr>
          <w:rFonts w:eastAsia="Times New Roman" w:cs="Times New Roman"/>
          <w:sz w:val="26"/>
          <w:szCs w:val="26"/>
          <w:lang w:eastAsia="x-none"/>
        </w:rPr>
        <w:t>2</w:t>
      </w:r>
      <w:r w:rsidR="008B6BEF">
        <w:rPr>
          <w:rFonts w:eastAsia="Times New Roman" w:cs="Times New Roman"/>
          <w:sz w:val="26"/>
          <w:szCs w:val="26"/>
          <w:lang w:eastAsia="x-none"/>
        </w:rPr>
        <w:t>5</w:t>
      </w:r>
      <w:r w:rsidRPr="00696C99">
        <w:rPr>
          <w:rFonts w:eastAsia="Times New Roman" w:cs="Times New Roman"/>
          <w:sz w:val="26"/>
          <w:szCs w:val="26"/>
          <w:lang w:val="x-none" w:eastAsia="x-none"/>
        </w:rPr>
        <w:t>-20</w:t>
      </w:r>
      <w:r w:rsidRPr="00696C99">
        <w:rPr>
          <w:rFonts w:eastAsia="Times New Roman" w:cs="Times New Roman"/>
          <w:sz w:val="26"/>
          <w:szCs w:val="26"/>
          <w:lang w:eastAsia="x-none"/>
        </w:rPr>
        <w:t>2</w:t>
      </w:r>
      <w:r w:rsidR="008B6BEF">
        <w:rPr>
          <w:rFonts w:eastAsia="Times New Roman" w:cs="Times New Roman"/>
          <w:sz w:val="26"/>
          <w:szCs w:val="26"/>
          <w:lang w:eastAsia="x-none"/>
        </w:rPr>
        <w:t>7</w:t>
      </w:r>
      <w:r w:rsidRPr="00696C99">
        <w:rPr>
          <w:rFonts w:eastAsia="Times New Roman" w:cs="Times New Roman"/>
          <w:sz w:val="26"/>
          <w:szCs w:val="26"/>
          <w:lang w:val="x-none" w:eastAsia="x-none"/>
        </w:rPr>
        <w:t xml:space="preserve"> годы </w:t>
      </w:r>
    </w:p>
    <w:p w:rsidR="00696C99" w:rsidRPr="00696C99" w:rsidRDefault="00696C99" w:rsidP="00696C99">
      <w:pPr>
        <w:spacing w:after="0"/>
        <w:jc w:val="center"/>
        <w:rPr>
          <w:rFonts w:eastAsia="Times New Roman" w:cs="Times New Roman"/>
          <w:sz w:val="26"/>
          <w:szCs w:val="26"/>
          <w:lang w:val="x-none" w:eastAsia="x-none"/>
        </w:rPr>
      </w:pPr>
    </w:p>
    <w:p w:rsidR="00696C99" w:rsidRPr="00696C99" w:rsidRDefault="00696C99" w:rsidP="00696C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Малечкинского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сельское поселение (далее – поселение) включено в государственный реестр муниципальных образований 21.04.2006 года, Устав поселения зарегистрирован постановлением Правительства Вологодской области от 16.08.2005 года № 898 за номером 14.15, расположено в 15 километрах от города Череповца.  Поселок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Малечкино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является административным центром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Малечкинского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В состав поселения входят 11 населенных пунктов, крупнейшими из которых являются: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п.Малечкино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д.Кошта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>. Численность жителей постоянного населения поселения по состоянию на 01.01.202</w:t>
      </w:r>
      <w:r w:rsidR="008B6BEF">
        <w:rPr>
          <w:rFonts w:eastAsia="Times New Roman" w:cs="Times New Roman"/>
          <w:sz w:val="26"/>
          <w:szCs w:val="26"/>
          <w:lang w:eastAsia="ru-RU"/>
        </w:rPr>
        <w:t>4</w:t>
      </w:r>
      <w:r w:rsidRPr="00696C99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696C99">
        <w:rPr>
          <w:rFonts w:eastAsia="Times New Roman" w:cs="Times New Roman"/>
          <w:sz w:val="26"/>
          <w:szCs w:val="26"/>
          <w:lang w:eastAsia="ru-RU"/>
        </w:rPr>
        <w:t>года  составляет</w:t>
      </w:r>
      <w:proofErr w:type="gram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2304 человека.     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На территории поселения имеются Дом культуры,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Малечкинская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амбулатория БУЗ ВО «Череповецкая городская больница № 2», аптека, общеобразовательная средняя школа, библиотека, детский сад. 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>На территории поселения находится одно крупное сельскохозяйственное производство ООО «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Малечкинская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птицефабрика</w:t>
      </w:r>
      <w:proofErr w:type="gramStart"/>
      <w:r w:rsidRPr="00696C99">
        <w:rPr>
          <w:rFonts w:eastAsia="Times New Roman" w:cs="Times New Roman"/>
          <w:sz w:val="26"/>
          <w:szCs w:val="26"/>
          <w:lang w:eastAsia="ru-RU"/>
        </w:rPr>
        <w:t>»,  18</w:t>
      </w:r>
      <w:proofErr w:type="gram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субъектов среднего и малого предпринимательства, среди которых можно выделить: ИП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Провоторова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Е.Н., ООО «Фея».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>Общая площадь занимаемой территории поселения по состоянию на 01.01.202</w:t>
      </w:r>
      <w:r w:rsidR="008B6BEF">
        <w:rPr>
          <w:rFonts w:eastAsia="Times New Roman" w:cs="Times New Roman"/>
          <w:sz w:val="26"/>
          <w:szCs w:val="26"/>
          <w:lang w:eastAsia="ru-RU"/>
        </w:rPr>
        <w:t>4</w:t>
      </w:r>
      <w:r w:rsidRPr="00696C99">
        <w:rPr>
          <w:rFonts w:eastAsia="Times New Roman" w:cs="Times New Roman"/>
          <w:sz w:val="26"/>
          <w:szCs w:val="26"/>
          <w:lang w:eastAsia="ru-RU"/>
        </w:rPr>
        <w:t xml:space="preserve"> года составляет 8170,4 га, из них занимаемая под: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- жилую и общественную застройку – 19,6 га, 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>- земли сельскохозяйственного использования – 5400,5 га.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По прогнозам Администрации поселения, численность постоянного населения поселения к концу 2026 года увеличится по отношению к уровню 2022 года на 18 человек, за счет миграции населения. </w:t>
      </w:r>
    </w:p>
    <w:p w:rsidR="00696C99" w:rsidRPr="00696C99" w:rsidRDefault="00696C99" w:rsidP="00696C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Администрацией поселения продолжится работа </w:t>
      </w:r>
      <w:proofErr w:type="gramStart"/>
      <w:r w:rsidRPr="00696C99">
        <w:rPr>
          <w:rFonts w:eastAsia="Times New Roman" w:cs="Times New Roman"/>
          <w:sz w:val="26"/>
          <w:szCs w:val="26"/>
          <w:lang w:eastAsia="ru-RU"/>
        </w:rPr>
        <w:t>по  реализации</w:t>
      </w:r>
      <w:proofErr w:type="gram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мер в части пропаганды здорового образа жизни населения, развития спорта в поселении, снижения масштабов злоупотребления алкогольной и табачной продукцией, профилактики алкоголизма,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табакокурения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и наркомании, - данные меры, в конечном итоге, окажут положительное влияние на показатели продолжительности жизни населения поселения.</w:t>
      </w:r>
    </w:p>
    <w:p w:rsidR="00696C99" w:rsidRPr="00696C99" w:rsidRDefault="00696C99" w:rsidP="00696C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>По прогнозам Администрации поселения, демографическая нагрузка на население трудоспособного возраста будет меняться в сторону уменьшится (в связи с изменениями возрастной структуры населения поселения); численность населения трудоспособного возраста увеличится и к концу 2026 года составит 1243 человека.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>По прогнозам Администрации поселения, в отрасли сельского хозяйства будет иметь место тенденция к сохранению объемов производства продукции.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Увеличение поголовья скота к концу 2026 года составит 7 голов. Объемы производства в данной отрасли сохраняются в основном за счет работы крестьянско-фермерского хозяйства. 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Продолжится работа по благоустройству территории поселения, включающая в себя мероприятия по улучшению санитарного и эстетического вида территории поселения, укреплению материально-технической базы поселения в сфере благоустройства </w:t>
      </w:r>
      <w:proofErr w:type="gramStart"/>
      <w:r w:rsidRPr="00696C99">
        <w:rPr>
          <w:rFonts w:eastAsia="Times New Roman" w:cs="Times New Roman"/>
          <w:sz w:val="26"/>
          <w:szCs w:val="26"/>
          <w:lang w:eastAsia="ru-RU"/>
        </w:rPr>
        <w:t>и  привлечению</w:t>
      </w:r>
      <w:proofErr w:type="gram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к участию в решении проблем благоустройства жителей поселения, предприятий, организаций и учреждений, зарегистрированных на территории поселения. </w:t>
      </w:r>
    </w:p>
    <w:p w:rsidR="00696C99" w:rsidRPr="00696C99" w:rsidRDefault="00696C99" w:rsidP="00696C99">
      <w:pPr>
        <w:spacing w:after="0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96C99">
        <w:rPr>
          <w:rFonts w:eastAsia="Times New Roman" w:cs="Times New Roman"/>
          <w:sz w:val="26"/>
          <w:szCs w:val="26"/>
        </w:rPr>
        <w:t xml:space="preserve">В целях обеспечения условий, способствующих развитию физической культуры и спорта, на территории поселения активно проводится работа по </w:t>
      </w:r>
      <w:r w:rsidRPr="00696C99">
        <w:rPr>
          <w:rFonts w:eastAsia="Times New Roman" w:cs="Times New Roman"/>
          <w:sz w:val="26"/>
          <w:szCs w:val="26"/>
        </w:rPr>
        <w:lastRenderedPageBreak/>
        <w:t>пропаганде здорового образа жизни, по привлечению населения поселения к регулярным занятиям физической культурой и спортом путем проведения на территории поселения мероприятий спортивно-</w:t>
      </w:r>
      <w:proofErr w:type="gramStart"/>
      <w:r w:rsidRPr="00696C99">
        <w:rPr>
          <w:rFonts w:eastAsia="Times New Roman" w:cs="Times New Roman"/>
          <w:sz w:val="26"/>
          <w:szCs w:val="26"/>
        </w:rPr>
        <w:t>оздоровительной  направленности</w:t>
      </w:r>
      <w:proofErr w:type="gramEnd"/>
      <w:r w:rsidRPr="00696C99">
        <w:rPr>
          <w:rFonts w:eastAsia="Times New Roman" w:cs="Times New Roman"/>
          <w:sz w:val="26"/>
          <w:szCs w:val="26"/>
        </w:rPr>
        <w:t xml:space="preserve">, обустройства спортивных площадок. </w:t>
      </w:r>
    </w:p>
    <w:p w:rsidR="00696C99" w:rsidRPr="00696C99" w:rsidRDefault="00696C99" w:rsidP="00696C99">
      <w:pPr>
        <w:spacing w:after="0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96C99">
        <w:rPr>
          <w:rFonts w:eastAsia="Times New Roman" w:cs="Times New Roman"/>
          <w:sz w:val="26"/>
          <w:szCs w:val="26"/>
        </w:rPr>
        <w:t xml:space="preserve">В предстоящей четырехлетней перспективе Администрацией поселения, как и в предыдущие годы, будут осуществляться меры по сохранению культурного наследия поселения; обеспечению развития отрасли культуры в современных условиях; повышению качества предоставляемых услуг в сфере культуры; развитию культурно-досуговой </w:t>
      </w:r>
      <w:proofErr w:type="gramStart"/>
      <w:r w:rsidRPr="00696C99">
        <w:rPr>
          <w:rFonts w:eastAsia="Times New Roman" w:cs="Times New Roman"/>
          <w:sz w:val="26"/>
          <w:szCs w:val="26"/>
        </w:rPr>
        <w:t xml:space="preserve">деятельности,   </w:t>
      </w:r>
      <w:proofErr w:type="gramEnd"/>
      <w:r w:rsidRPr="00696C99">
        <w:rPr>
          <w:rFonts w:eastAsia="Times New Roman" w:cs="Times New Roman"/>
          <w:sz w:val="26"/>
          <w:szCs w:val="26"/>
        </w:rPr>
        <w:t xml:space="preserve">увеличению  посещаемости  культурно-досуговых  мероприятий, проводимых на территории поселения. </w:t>
      </w:r>
    </w:p>
    <w:p w:rsidR="00696C99" w:rsidRPr="00696C99" w:rsidRDefault="00696C99" w:rsidP="00696C99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В прогнозируемом периоде 2024-2026 годов  будет продолжена работа по поддержанию творческих коллективов поселения, содействие в участии вышеуказанных коллективов  в конкурсах, фестивалях, мероприятиях различного уровня; будут осуществляться мероприятия по совершенствованию направлений и форм по сохранению традиционной народной культуры и  развитию библиотечного дела, по повышению качества услуг, предоставляемых  в сфере культурно-досуговой деятельности и обеспечению для всех категорий населения поселения равными возможностями доступа к культурным ценностям. </w:t>
      </w:r>
    </w:p>
    <w:p w:rsidR="00696C99" w:rsidRPr="00696C99" w:rsidRDefault="00696C99" w:rsidP="00696C99">
      <w:pPr>
        <w:spacing w:after="0"/>
        <w:ind w:firstLine="70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96C99">
        <w:rPr>
          <w:rFonts w:eastAsia="Times New Roman" w:cs="Times New Roman"/>
          <w:sz w:val="26"/>
          <w:szCs w:val="26"/>
          <w:lang w:eastAsia="ru-RU"/>
        </w:rPr>
        <w:t xml:space="preserve">Будет продолжена реализация Указов Президента в части повышения заработной платы работников бюджетной сферы. Уровень среднемесячной заработной платы </w:t>
      </w:r>
      <w:proofErr w:type="gramStart"/>
      <w:r w:rsidRPr="00696C99">
        <w:rPr>
          <w:rFonts w:eastAsia="Times New Roman" w:cs="Times New Roman"/>
          <w:sz w:val="26"/>
          <w:szCs w:val="26"/>
          <w:lang w:eastAsia="ru-RU"/>
        </w:rPr>
        <w:t>работников  бюджетной</w:t>
      </w:r>
      <w:proofErr w:type="gram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 сферы, по предварительным прогнозам Администрации поселения в целом по поселению к 2026 году составит 49,6</w:t>
      </w:r>
      <w:r w:rsidRPr="00696C99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Pr="00696C99">
        <w:rPr>
          <w:rFonts w:eastAsia="Times New Roman" w:cs="Times New Roman"/>
          <w:sz w:val="26"/>
          <w:szCs w:val="26"/>
          <w:lang w:eastAsia="ru-RU"/>
        </w:rPr>
        <w:t>тыс.руб</w:t>
      </w:r>
      <w:proofErr w:type="spellEnd"/>
      <w:r w:rsidRPr="00696C99">
        <w:rPr>
          <w:rFonts w:eastAsia="Times New Roman" w:cs="Times New Roman"/>
          <w:sz w:val="26"/>
          <w:szCs w:val="26"/>
          <w:lang w:eastAsia="ru-RU"/>
        </w:rPr>
        <w:t xml:space="preserve">.  </w:t>
      </w:r>
    </w:p>
    <w:p w:rsidR="00696C99" w:rsidRPr="00696C99" w:rsidRDefault="00696C99" w:rsidP="00696C9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96C99" w:rsidRPr="00696C99" w:rsidRDefault="00696C99" w:rsidP="00696C9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96C99" w:rsidRPr="00B17358" w:rsidRDefault="00696C99">
      <w:pPr>
        <w:spacing w:after="0"/>
        <w:ind w:firstLine="709"/>
        <w:jc w:val="both"/>
        <w:rPr>
          <w:sz w:val="26"/>
          <w:szCs w:val="26"/>
        </w:rPr>
      </w:pPr>
    </w:p>
    <w:sectPr w:rsidR="00696C99" w:rsidRPr="00B17358" w:rsidSect="00696C99">
      <w:pgSz w:w="11906" w:h="16838" w:code="9"/>
      <w:pgMar w:top="1021" w:right="70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09E3"/>
    <w:multiLevelType w:val="hybridMultilevel"/>
    <w:tmpl w:val="B950AD3A"/>
    <w:lvl w:ilvl="0" w:tplc="2DC64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8E5630">
      <w:numFmt w:val="none"/>
      <w:lvlText w:val=""/>
      <w:lvlJc w:val="left"/>
      <w:pPr>
        <w:tabs>
          <w:tab w:val="num" w:pos="360"/>
        </w:tabs>
      </w:pPr>
    </w:lvl>
    <w:lvl w:ilvl="2" w:tplc="C45C99B4">
      <w:numFmt w:val="none"/>
      <w:lvlText w:val=""/>
      <w:lvlJc w:val="left"/>
      <w:pPr>
        <w:tabs>
          <w:tab w:val="num" w:pos="360"/>
        </w:tabs>
      </w:pPr>
    </w:lvl>
    <w:lvl w:ilvl="3" w:tplc="FF002FB4">
      <w:numFmt w:val="none"/>
      <w:lvlText w:val=""/>
      <w:lvlJc w:val="left"/>
      <w:pPr>
        <w:tabs>
          <w:tab w:val="num" w:pos="360"/>
        </w:tabs>
      </w:pPr>
    </w:lvl>
    <w:lvl w:ilvl="4" w:tplc="8A4632BC">
      <w:numFmt w:val="none"/>
      <w:lvlText w:val=""/>
      <w:lvlJc w:val="left"/>
      <w:pPr>
        <w:tabs>
          <w:tab w:val="num" w:pos="360"/>
        </w:tabs>
      </w:pPr>
    </w:lvl>
    <w:lvl w:ilvl="5" w:tplc="DE921E34">
      <w:numFmt w:val="none"/>
      <w:lvlText w:val=""/>
      <w:lvlJc w:val="left"/>
      <w:pPr>
        <w:tabs>
          <w:tab w:val="num" w:pos="360"/>
        </w:tabs>
      </w:pPr>
    </w:lvl>
    <w:lvl w:ilvl="6" w:tplc="F34EC2A4">
      <w:numFmt w:val="none"/>
      <w:lvlText w:val=""/>
      <w:lvlJc w:val="left"/>
      <w:pPr>
        <w:tabs>
          <w:tab w:val="num" w:pos="360"/>
        </w:tabs>
      </w:pPr>
    </w:lvl>
    <w:lvl w:ilvl="7" w:tplc="BD7CBC3E">
      <w:numFmt w:val="none"/>
      <w:lvlText w:val=""/>
      <w:lvlJc w:val="left"/>
      <w:pPr>
        <w:tabs>
          <w:tab w:val="num" w:pos="360"/>
        </w:tabs>
      </w:pPr>
    </w:lvl>
    <w:lvl w:ilvl="8" w:tplc="1930CB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0"/>
    <w:rsid w:val="00015A68"/>
    <w:rsid w:val="000268ED"/>
    <w:rsid w:val="00033E84"/>
    <w:rsid w:val="0004292D"/>
    <w:rsid w:val="0006516B"/>
    <w:rsid w:val="00073B62"/>
    <w:rsid w:val="00077CD2"/>
    <w:rsid w:val="000936D3"/>
    <w:rsid w:val="000B3BE6"/>
    <w:rsid w:val="000E7CBA"/>
    <w:rsid w:val="000F24B8"/>
    <w:rsid w:val="000F7AF7"/>
    <w:rsid w:val="000F7CD3"/>
    <w:rsid w:val="001173C1"/>
    <w:rsid w:val="001335EC"/>
    <w:rsid w:val="001445AA"/>
    <w:rsid w:val="001451A4"/>
    <w:rsid w:val="001623FE"/>
    <w:rsid w:val="0017004C"/>
    <w:rsid w:val="0018151F"/>
    <w:rsid w:val="00192ED9"/>
    <w:rsid w:val="001C3CDE"/>
    <w:rsid w:val="001D44AF"/>
    <w:rsid w:val="00203F1A"/>
    <w:rsid w:val="002274EF"/>
    <w:rsid w:val="0025194E"/>
    <w:rsid w:val="002C553F"/>
    <w:rsid w:val="002D39C8"/>
    <w:rsid w:val="002F5494"/>
    <w:rsid w:val="003401C5"/>
    <w:rsid w:val="00342A68"/>
    <w:rsid w:val="00367838"/>
    <w:rsid w:val="00372896"/>
    <w:rsid w:val="003744A2"/>
    <w:rsid w:val="00380015"/>
    <w:rsid w:val="003845C6"/>
    <w:rsid w:val="00384D7C"/>
    <w:rsid w:val="003B4375"/>
    <w:rsid w:val="003C0B86"/>
    <w:rsid w:val="00414DF1"/>
    <w:rsid w:val="004178CA"/>
    <w:rsid w:val="004532A2"/>
    <w:rsid w:val="004729D7"/>
    <w:rsid w:val="0049475B"/>
    <w:rsid w:val="004A38AE"/>
    <w:rsid w:val="004A79DF"/>
    <w:rsid w:val="004B7AD6"/>
    <w:rsid w:val="004C1A01"/>
    <w:rsid w:val="004E4C47"/>
    <w:rsid w:val="00510FCA"/>
    <w:rsid w:val="0051482D"/>
    <w:rsid w:val="00525CC2"/>
    <w:rsid w:val="0052629B"/>
    <w:rsid w:val="00527E00"/>
    <w:rsid w:val="00534696"/>
    <w:rsid w:val="0053744F"/>
    <w:rsid w:val="005410AE"/>
    <w:rsid w:val="00547595"/>
    <w:rsid w:val="005532E6"/>
    <w:rsid w:val="00554BCE"/>
    <w:rsid w:val="00564474"/>
    <w:rsid w:val="00565B5A"/>
    <w:rsid w:val="00573354"/>
    <w:rsid w:val="005779E8"/>
    <w:rsid w:val="005818BB"/>
    <w:rsid w:val="0058345B"/>
    <w:rsid w:val="0058402D"/>
    <w:rsid w:val="00597452"/>
    <w:rsid w:val="005C005C"/>
    <w:rsid w:val="005C3294"/>
    <w:rsid w:val="005F45B8"/>
    <w:rsid w:val="005F7884"/>
    <w:rsid w:val="006069D5"/>
    <w:rsid w:val="00610F68"/>
    <w:rsid w:val="00622F47"/>
    <w:rsid w:val="00631B47"/>
    <w:rsid w:val="006326D5"/>
    <w:rsid w:val="00696C99"/>
    <w:rsid w:val="006C0B77"/>
    <w:rsid w:val="006D5927"/>
    <w:rsid w:val="006D664D"/>
    <w:rsid w:val="006F17F7"/>
    <w:rsid w:val="00702FDB"/>
    <w:rsid w:val="0071365C"/>
    <w:rsid w:val="0073480F"/>
    <w:rsid w:val="007B12E8"/>
    <w:rsid w:val="007C2E07"/>
    <w:rsid w:val="007C2F62"/>
    <w:rsid w:val="007D63DB"/>
    <w:rsid w:val="007E3F9D"/>
    <w:rsid w:val="008037A9"/>
    <w:rsid w:val="00814629"/>
    <w:rsid w:val="008242FF"/>
    <w:rsid w:val="0086142B"/>
    <w:rsid w:val="00870751"/>
    <w:rsid w:val="008848A7"/>
    <w:rsid w:val="008B61C1"/>
    <w:rsid w:val="008B6BEF"/>
    <w:rsid w:val="008C3279"/>
    <w:rsid w:val="008C4F91"/>
    <w:rsid w:val="00902319"/>
    <w:rsid w:val="00922C48"/>
    <w:rsid w:val="00925591"/>
    <w:rsid w:val="009432ED"/>
    <w:rsid w:val="00972C06"/>
    <w:rsid w:val="009A1C7C"/>
    <w:rsid w:val="009A7496"/>
    <w:rsid w:val="009D061D"/>
    <w:rsid w:val="00A04DA0"/>
    <w:rsid w:val="00A04DC5"/>
    <w:rsid w:val="00A22A5C"/>
    <w:rsid w:val="00A533D9"/>
    <w:rsid w:val="00A70D56"/>
    <w:rsid w:val="00A72D96"/>
    <w:rsid w:val="00AC21DD"/>
    <w:rsid w:val="00AE179F"/>
    <w:rsid w:val="00B07698"/>
    <w:rsid w:val="00B162FD"/>
    <w:rsid w:val="00B17358"/>
    <w:rsid w:val="00B45215"/>
    <w:rsid w:val="00B543D3"/>
    <w:rsid w:val="00B915B7"/>
    <w:rsid w:val="00BB7BEF"/>
    <w:rsid w:val="00BC1C97"/>
    <w:rsid w:val="00BD339C"/>
    <w:rsid w:val="00C139B3"/>
    <w:rsid w:val="00C15FF6"/>
    <w:rsid w:val="00C65BE0"/>
    <w:rsid w:val="00C72AF8"/>
    <w:rsid w:val="00C87708"/>
    <w:rsid w:val="00CA4FCF"/>
    <w:rsid w:val="00CA598E"/>
    <w:rsid w:val="00CB6B5A"/>
    <w:rsid w:val="00CD120A"/>
    <w:rsid w:val="00CD2F68"/>
    <w:rsid w:val="00CD552E"/>
    <w:rsid w:val="00D15CC0"/>
    <w:rsid w:val="00D45C36"/>
    <w:rsid w:val="00D82023"/>
    <w:rsid w:val="00DB0EBA"/>
    <w:rsid w:val="00DB7CEE"/>
    <w:rsid w:val="00DD3182"/>
    <w:rsid w:val="00E23123"/>
    <w:rsid w:val="00E517BC"/>
    <w:rsid w:val="00E640C1"/>
    <w:rsid w:val="00E73074"/>
    <w:rsid w:val="00EA59DF"/>
    <w:rsid w:val="00EC78C1"/>
    <w:rsid w:val="00EE4070"/>
    <w:rsid w:val="00EE54BF"/>
    <w:rsid w:val="00F022E1"/>
    <w:rsid w:val="00F12C76"/>
    <w:rsid w:val="00F406C0"/>
    <w:rsid w:val="00F77EE0"/>
    <w:rsid w:val="00F8154D"/>
    <w:rsid w:val="00F828D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E621"/>
  <w15:docId w15:val="{A6570523-E01F-4B4E-8206-F5E90C5C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3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styleId="a4">
    <w:name w:val="Body Text"/>
    <w:basedOn w:val="a"/>
    <w:link w:val="a5"/>
    <w:rsid w:val="007C2E07"/>
    <w:pPr>
      <w:spacing w:after="0"/>
      <w:jc w:val="both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C2E0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8B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2024-10-16T15:12:00Z</dcterms:created>
  <dcterms:modified xsi:type="dcterms:W3CDTF">2024-11-07T13:43:00Z</dcterms:modified>
</cp:coreProperties>
</file>