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41" w:rsidRDefault="00424141" w:rsidP="00424141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141" w:rsidRDefault="00424141" w:rsidP="00424141">
      <w:pPr>
        <w:jc w:val="center"/>
        <w:rPr>
          <w:sz w:val="28"/>
          <w:szCs w:val="28"/>
        </w:rPr>
      </w:pPr>
    </w:p>
    <w:p w:rsidR="00424141" w:rsidRDefault="00424141" w:rsidP="00424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24141" w:rsidRDefault="00424141" w:rsidP="004241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24141" w:rsidRDefault="00424141" w:rsidP="00424141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424141" w:rsidRDefault="00424141" w:rsidP="00424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141" w:rsidRDefault="00424141" w:rsidP="0042414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№ 12</w:t>
      </w:r>
    </w:p>
    <w:p w:rsidR="00424141" w:rsidRDefault="00424141" w:rsidP="00424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8A6129" w:rsidRDefault="008A6129">
      <w:pPr>
        <w:spacing w:after="0" w:line="240" w:lineRule="auto"/>
        <w:rPr>
          <w:sz w:val="32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района 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7E6E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 xml:space="preserve">решением Муниципального Собрания района от </w:t>
      </w:r>
      <w:r w:rsidR="00E81F7A">
        <w:rPr>
          <w:rFonts w:ascii="Times New Roman" w:hAnsi="Times New Roman"/>
          <w:sz w:val="28"/>
        </w:rPr>
        <w:t>14</w:t>
      </w:r>
      <w:r w:rsidR="007F51B9" w:rsidRPr="007F51B9">
        <w:rPr>
          <w:rFonts w:ascii="Times New Roman" w:hAnsi="Times New Roman"/>
          <w:sz w:val="28"/>
        </w:rPr>
        <w:t>.1</w:t>
      </w:r>
      <w:r w:rsidR="00E81F7A">
        <w:rPr>
          <w:rFonts w:ascii="Times New Roman" w:hAnsi="Times New Roman"/>
          <w:sz w:val="28"/>
        </w:rPr>
        <w:t>2</w:t>
      </w:r>
      <w:r w:rsidR="007F51B9" w:rsidRPr="007F51B9">
        <w:rPr>
          <w:rFonts w:ascii="Times New Roman" w:hAnsi="Times New Roman"/>
          <w:sz w:val="28"/>
        </w:rPr>
        <w:t>.2022 №</w:t>
      </w:r>
      <w:r w:rsidR="007F51B9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3</w:t>
      </w:r>
      <w:r w:rsidR="007C59B9">
        <w:rPr>
          <w:rFonts w:ascii="Times New Roman" w:hAnsi="Times New Roman"/>
          <w:sz w:val="28"/>
        </w:rPr>
        <w:t>64</w:t>
      </w:r>
      <w:r w:rsidR="007F51B9" w:rsidRPr="007F51B9">
        <w:rPr>
          <w:rFonts w:ascii="Times New Roman" w:hAnsi="Times New Roman"/>
          <w:sz w:val="28"/>
        </w:rPr>
        <w:t xml:space="preserve"> «О бюджете Череповецкого муниципального района на 202</w:t>
      </w:r>
      <w:r w:rsidR="007C59B9">
        <w:rPr>
          <w:rFonts w:ascii="Times New Roman" w:hAnsi="Times New Roman"/>
          <w:sz w:val="28"/>
        </w:rPr>
        <w:t>3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7C59B9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7C59B9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063937">
        <w:rPr>
          <w:rFonts w:ascii="Times New Roman" w:hAnsi="Times New Roman"/>
          <w:sz w:val="28"/>
        </w:rPr>
        <w:t>,</w:t>
      </w:r>
      <w:r w:rsidR="00063937" w:rsidRPr="00063937">
        <w:t xml:space="preserve"> </w:t>
      </w:r>
      <w:r w:rsidR="00063937" w:rsidRPr="00063937">
        <w:rPr>
          <w:rFonts w:ascii="Times New Roman" w:hAnsi="Times New Roman"/>
          <w:sz w:val="28"/>
        </w:rPr>
        <w:t>постановлением администрации района от 09.08.2013 № 2068 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«Управление муниципальными финансами Череповецкого муниципального района на 2020-2025 годы», утвержденную постановлением администрации района от 14.10.2019 № 1535, изложив ее в новой редакции согласно приложению к настоящему постановлению.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 </w:t>
      </w:r>
      <w:r w:rsidR="00E71378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9E3CA9" w:rsidRDefault="009E3CA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424141" w:rsidRDefault="00DF347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66CFA" w:rsidRPr="00424141">
        <w:rPr>
          <w:rFonts w:ascii="Times New Roman" w:hAnsi="Times New Roman"/>
          <w:sz w:val="28"/>
          <w:szCs w:val="28"/>
        </w:rPr>
        <w:t xml:space="preserve">                     </w:t>
      </w:r>
      <w:r w:rsidR="00424141">
        <w:rPr>
          <w:rFonts w:ascii="Times New Roman" w:hAnsi="Times New Roman"/>
          <w:sz w:val="28"/>
          <w:szCs w:val="28"/>
        </w:rPr>
        <w:t xml:space="preserve">                          </w:t>
      </w:r>
      <w:r w:rsidR="00066CFA" w:rsidRPr="00424141">
        <w:rPr>
          <w:rFonts w:ascii="Times New Roman" w:hAnsi="Times New Roman"/>
          <w:sz w:val="28"/>
          <w:szCs w:val="28"/>
        </w:rPr>
        <w:t xml:space="preserve"> </w:t>
      </w:r>
      <w:r w:rsidR="00424141" w:rsidRPr="00424141">
        <w:rPr>
          <w:rFonts w:ascii="Times New Roman" w:hAnsi="Times New Roman"/>
          <w:sz w:val="28"/>
          <w:szCs w:val="28"/>
        </w:rPr>
        <w:t>ПРИЛОЖЕНИЕ</w:t>
      </w:r>
    </w:p>
    <w:p w:rsid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                   </w:t>
      </w:r>
      <w:r w:rsidR="0042414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24141">
        <w:rPr>
          <w:rFonts w:ascii="Times New Roman" w:hAnsi="Times New Roman"/>
          <w:sz w:val="28"/>
          <w:szCs w:val="28"/>
        </w:rPr>
        <w:t>к постановлению</w:t>
      </w:r>
    </w:p>
    <w:p w:rsidR="008A6129" w:rsidRP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</w:t>
      </w:r>
      <w:r w:rsidR="0042414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24141">
        <w:rPr>
          <w:rFonts w:ascii="Times New Roman" w:hAnsi="Times New Roman"/>
          <w:sz w:val="28"/>
          <w:szCs w:val="28"/>
        </w:rPr>
        <w:t>администрации района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  <w:r w:rsidRPr="004241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24141">
        <w:rPr>
          <w:rFonts w:ascii="Times New Roman" w:hAnsi="Times New Roman"/>
          <w:sz w:val="28"/>
          <w:szCs w:val="28"/>
        </w:rPr>
        <w:t xml:space="preserve">                        </w:t>
      </w:r>
      <w:r w:rsidRPr="00424141">
        <w:rPr>
          <w:rFonts w:ascii="Times New Roman" w:hAnsi="Times New Roman"/>
          <w:sz w:val="28"/>
          <w:szCs w:val="28"/>
        </w:rPr>
        <w:t xml:space="preserve">от </w:t>
      </w:r>
      <w:r w:rsidR="00424141">
        <w:rPr>
          <w:rFonts w:ascii="Times New Roman" w:hAnsi="Times New Roman"/>
          <w:sz w:val="28"/>
          <w:szCs w:val="28"/>
        </w:rPr>
        <w:t>17.01.2023</w:t>
      </w:r>
      <w:r w:rsidRPr="00424141">
        <w:rPr>
          <w:rFonts w:ascii="Times New Roman" w:hAnsi="Times New Roman"/>
          <w:sz w:val="28"/>
          <w:szCs w:val="28"/>
        </w:rPr>
        <w:t xml:space="preserve"> № </w:t>
      </w:r>
      <w:r w:rsidR="00424141">
        <w:rPr>
          <w:rFonts w:ascii="Times New Roman" w:hAnsi="Times New Roman"/>
          <w:sz w:val="28"/>
          <w:szCs w:val="28"/>
        </w:rPr>
        <w:t>12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                    </w:t>
      </w:r>
      <w:r w:rsidR="00424141" w:rsidRPr="00424141">
        <w:rPr>
          <w:rFonts w:ascii="Times New Roman" w:hAnsi="Times New Roman"/>
          <w:sz w:val="28"/>
          <w:szCs w:val="28"/>
        </w:rPr>
        <w:t xml:space="preserve"> </w:t>
      </w:r>
      <w:r w:rsidRPr="00424141">
        <w:rPr>
          <w:rFonts w:ascii="Times New Roman" w:hAnsi="Times New Roman"/>
          <w:sz w:val="28"/>
          <w:szCs w:val="28"/>
        </w:rPr>
        <w:t xml:space="preserve"> </w:t>
      </w:r>
      <w:r w:rsidR="00424141" w:rsidRPr="00424141">
        <w:rPr>
          <w:rFonts w:ascii="Times New Roman" w:hAnsi="Times New Roman"/>
          <w:sz w:val="28"/>
          <w:szCs w:val="28"/>
        </w:rPr>
        <w:t xml:space="preserve">         </w:t>
      </w:r>
      <w:r w:rsidR="009E3CA9">
        <w:rPr>
          <w:rFonts w:ascii="Times New Roman" w:hAnsi="Times New Roman"/>
          <w:sz w:val="28"/>
          <w:szCs w:val="28"/>
        </w:rPr>
        <w:t xml:space="preserve">                         </w:t>
      </w:r>
      <w:r w:rsidR="00424141">
        <w:rPr>
          <w:rFonts w:ascii="Times New Roman" w:hAnsi="Times New Roman"/>
          <w:sz w:val="28"/>
          <w:szCs w:val="28"/>
        </w:rPr>
        <w:t>«</w:t>
      </w:r>
      <w:r w:rsidRPr="00424141">
        <w:rPr>
          <w:rFonts w:ascii="Times New Roman" w:hAnsi="Times New Roman"/>
          <w:sz w:val="28"/>
          <w:szCs w:val="28"/>
        </w:rPr>
        <w:t>УТВЕРЖДЕНА</w:t>
      </w:r>
    </w:p>
    <w:p w:rsidR="00424141" w:rsidRP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E3CA9">
        <w:rPr>
          <w:rFonts w:ascii="Times New Roman" w:hAnsi="Times New Roman"/>
          <w:sz w:val="28"/>
          <w:szCs w:val="28"/>
        </w:rPr>
        <w:t xml:space="preserve">                   </w:t>
      </w:r>
      <w:r w:rsidR="00424141" w:rsidRPr="00424141">
        <w:rPr>
          <w:rFonts w:ascii="Times New Roman" w:hAnsi="Times New Roman"/>
          <w:sz w:val="28"/>
          <w:szCs w:val="28"/>
        </w:rPr>
        <w:t>постановлением</w:t>
      </w:r>
    </w:p>
    <w:p w:rsidR="008A6129" w:rsidRP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</w:t>
      </w:r>
      <w:r w:rsidR="00424141" w:rsidRPr="0042414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E3CA9">
        <w:rPr>
          <w:rFonts w:ascii="Times New Roman" w:hAnsi="Times New Roman"/>
          <w:sz w:val="28"/>
          <w:szCs w:val="28"/>
        </w:rPr>
        <w:t xml:space="preserve">                           </w:t>
      </w:r>
      <w:r w:rsidRPr="0042414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424141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414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E3CA9">
        <w:rPr>
          <w:rFonts w:ascii="Times New Roman" w:hAnsi="Times New Roman"/>
          <w:sz w:val="28"/>
          <w:szCs w:val="28"/>
        </w:rPr>
        <w:t xml:space="preserve">                             </w:t>
      </w:r>
      <w:r w:rsidRPr="00424141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НА 2020-2025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Pr="00424141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 w:rsidRPr="00424141">
          <w:rPr>
            <w:rStyle w:val="ab"/>
            <w:rFonts w:ascii="Times New Roman" w:hAnsi="Times New Roman"/>
            <w:color w:val="auto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59102B" w:rsidRDefault="0059102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2020-2025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2020 - 2025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EC79D7" w:rsidRPr="00EC79D7">
              <w:rPr>
                <w:rFonts w:ascii="Times New Roman" w:hAnsi="Times New Roman"/>
                <w:sz w:val="28"/>
              </w:rPr>
              <w:t>770 945,2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7C37C9">
              <w:rPr>
                <w:rFonts w:ascii="Times New Roman" w:hAnsi="Times New Roman"/>
                <w:sz w:val="28"/>
              </w:rPr>
              <w:t>140 560,4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7C37C9">
              <w:rPr>
                <w:rFonts w:ascii="Times New Roman" w:hAnsi="Times New Roman"/>
                <w:sz w:val="28"/>
              </w:rPr>
              <w:t>141 992,3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A65D1C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</w:t>
            </w:r>
            <w:r w:rsidR="007C37C9">
              <w:rPr>
                <w:rFonts w:ascii="Times New Roman" w:hAnsi="Times New Roman"/>
                <w:sz w:val="28"/>
              </w:rPr>
              <w:t>144 390,0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результаты реализации программы  </w:t>
            </w:r>
          </w:p>
        </w:tc>
        <w:tc>
          <w:tcPr>
            <w:tcW w:w="6946" w:type="dxa"/>
          </w:tcPr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1. Ежегодное отношение фактических поступлений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 расходов бюджета района, формируемых в рамках муниципальных программ, в общем объеме расходов бюджета района до уровня 98%;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Отсутствие просроченной кредиторской </w:t>
            </w:r>
            <w:r>
              <w:rPr>
                <w:rFonts w:ascii="Times New Roman" w:hAnsi="Times New Roman"/>
                <w:sz w:val="28"/>
              </w:rPr>
              <w:lastRenderedPageBreak/>
              <w:t>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дотация на выравнивание бюджетной обеспеченности заменяется нормативами отчислений в местные бюджеты от налога на доходы 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9D6FC8" w:rsidTr="00424141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9D6FC8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both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104,5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793D03" w:rsidP="009D6FC8">
            <w:pPr>
              <w:pStyle w:val="a5"/>
              <w:jc w:val="center"/>
            </w:pPr>
            <w:r>
              <w:t>106,7</w:t>
            </w:r>
          </w:p>
        </w:tc>
      </w:tr>
      <w:tr w:rsidR="009D6FC8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83,1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shd w:val="clear" w:color="auto" w:fill="FFFF00"/>
              </w:rPr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90,2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304206" w:rsidP="009D6FC8">
            <w:pPr>
              <w:pStyle w:val="a5"/>
              <w:jc w:val="center"/>
            </w:pPr>
            <w:r>
              <w:t>98,4</w:t>
            </w:r>
          </w:p>
        </w:tc>
      </w:tr>
      <w:tr w:rsidR="009D6FC8" w:rsidTr="00424141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социально-экономического развития района на период до 2030 года, утвержденная решением Муниципального Собрания района 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 области от 6 декабря 2013 года 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</w:t>
      </w:r>
      <w:r>
        <w:rPr>
          <w:rFonts w:ascii="Times New Roman" w:hAnsi="Times New Roman"/>
          <w:sz w:val="28"/>
        </w:rPr>
        <w:lastRenderedPageBreak/>
        <w:t>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2015 года на официальном сайте района в информационно-телекоммуникационной сети «Интернет» 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>стратегия социально-экономического развития района на период до 2030 года;</w:t>
      </w:r>
    </w:p>
    <w:p w:rsidR="008A6129" w:rsidRDefault="00066CFA">
      <w:pPr>
        <w:pStyle w:val="a6"/>
        <w:ind w:firstLine="567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lastRenderedPageBreak/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программы: 2020-2025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по очередной финансовый год</w:t>
      </w:r>
      <w:r>
        <w:rPr>
          <w:rFonts w:ascii="Times New Roman" w:hAnsi="Times New Roman"/>
          <w:sz w:val="28"/>
        </w:rPr>
        <w:t xml:space="preserve"> </w:t>
      </w:r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порядке сбора информации и методике расчета значений целевых показателей (индикаторов) программы приведены в приложении 4 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066CFA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Ресурсное   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3D5B5E" w:rsidRPr="003D5B5E">
        <w:rPr>
          <w:rFonts w:ascii="Times New Roman" w:hAnsi="Times New Roman"/>
          <w:sz w:val="28"/>
        </w:rPr>
        <w:t>770 945,2</w:t>
      </w:r>
      <w:r w:rsidR="00582C62" w:rsidRPr="003D5B5E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582C62" w:rsidRPr="003D5B5E" w:rsidRDefault="00582C62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2020 году  -  102 054,8 тыс. рублей,</w:t>
      </w:r>
    </w:p>
    <w:p w:rsidR="00582C62" w:rsidRPr="003D5B5E" w:rsidRDefault="00582C62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2021 году  -  109 133,9 тыс. рублей,</w:t>
      </w:r>
    </w:p>
    <w:p w:rsidR="00582C62" w:rsidRDefault="002466A0" w:rsidP="00582C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 xml:space="preserve">в 2022 году  -  </w:t>
      </w:r>
      <w:r w:rsidR="00773537" w:rsidRPr="003D5B5E">
        <w:rPr>
          <w:rFonts w:ascii="Times New Roman" w:hAnsi="Times New Roman"/>
          <w:sz w:val="28"/>
        </w:rPr>
        <w:t>132 813,8</w:t>
      </w:r>
      <w:r w:rsidR="00582C62" w:rsidRPr="003D5B5E">
        <w:rPr>
          <w:rFonts w:ascii="Times New Roman" w:hAnsi="Times New Roman"/>
          <w:sz w:val="28"/>
        </w:rPr>
        <w:t xml:space="preserve"> тыс. р</w:t>
      </w:r>
      <w:r w:rsidR="00582C62">
        <w:rPr>
          <w:rFonts w:ascii="Times New Roman" w:hAnsi="Times New Roman"/>
          <w:sz w:val="28"/>
        </w:rPr>
        <w:t>ублей,</w:t>
      </w:r>
    </w:p>
    <w:p w:rsidR="00750B65" w:rsidRPr="00750B65" w:rsidRDefault="00750B65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2023 году  -  140 560,4 тыс. рублей,</w:t>
      </w:r>
    </w:p>
    <w:p w:rsidR="00750B65" w:rsidRPr="00750B65" w:rsidRDefault="00750B65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2024 году  -  141 992,3 тыс. рублей,</w:t>
      </w:r>
    </w:p>
    <w:p w:rsidR="008A6129" w:rsidRDefault="00750B65" w:rsidP="00750B6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2025 году – 144 390,0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к  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  <w:sectPr w:rsidR="008A6129">
          <w:headerReference w:type="default" r:id="rId12"/>
          <w:pgSz w:w="11906" w:h="16838" w:code="9"/>
          <w:pgMar w:top="1134" w:right="850" w:bottom="1134" w:left="1701" w:header="708" w:footer="708" w:gutter="0"/>
          <w:cols w:space="720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701"/>
        <w:gridCol w:w="1935"/>
        <w:gridCol w:w="2068"/>
        <w:gridCol w:w="2069"/>
        <w:gridCol w:w="1935"/>
        <w:gridCol w:w="1935"/>
      </w:tblGrid>
      <w:tr w:rsidR="008A6129">
        <w:tc>
          <w:tcPr>
            <w:tcW w:w="2569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643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E95CEB">
        <w:tc>
          <w:tcPr>
            <w:tcW w:w="2569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0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95CEB">
        <w:tc>
          <w:tcPr>
            <w:tcW w:w="2569" w:type="dxa"/>
          </w:tcPr>
          <w:p w:rsidR="00E84BBC" w:rsidRDefault="00E84BB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E84BBC" w:rsidRPr="00E84BBC" w:rsidRDefault="00E84BBC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35" w:type="dxa"/>
          </w:tcPr>
          <w:p w:rsidR="00E84BBC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68" w:type="dxa"/>
          </w:tcPr>
          <w:p w:rsidR="00E84BBC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2069" w:type="dxa"/>
          </w:tcPr>
          <w:p w:rsidR="00E84BBC" w:rsidRPr="00B4533F" w:rsidRDefault="00C376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140 560,4</w:t>
            </w:r>
          </w:p>
        </w:tc>
        <w:tc>
          <w:tcPr>
            <w:tcW w:w="1935" w:type="dxa"/>
          </w:tcPr>
          <w:p w:rsidR="00E84BBC" w:rsidRPr="00B4533F" w:rsidRDefault="00C37603" w:rsidP="00E84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141 992,3</w:t>
            </w:r>
          </w:p>
        </w:tc>
        <w:tc>
          <w:tcPr>
            <w:tcW w:w="1935" w:type="dxa"/>
          </w:tcPr>
          <w:p w:rsidR="00E84BBC" w:rsidRDefault="00C37603" w:rsidP="00E84BBC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E95CEB">
        <w:tc>
          <w:tcPr>
            <w:tcW w:w="2569" w:type="dxa"/>
          </w:tcPr>
          <w:p w:rsidR="00152660" w:rsidRDefault="00E95CEB" w:rsidP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- </w:t>
            </w:r>
            <w:r w:rsidR="00152660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2069" w:type="dxa"/>
          </w:tcPr>
          <w:p w:rsidR="00152660" w:rsidRDefault="00C37603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107 491,8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109 033,7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110 441,9</w:t>
            </w:r>
          </w:p>
        </w:tc>
      </w:tr>
      <w:tr w:rsidR="00E95CEB">
        <w:tc>
          <w:tcPr>
            <w:tcW w:w="2569" w:type="dxa"/>
          </w:tcPr>
          <w:p w:rsidR="00152660" w:rsidRDefault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Соисполнитель - </w:t>
            </w:r>
            <w:r w:rsidR="00152660">
              <w:rPr>
                <w:rFonts w:ascii="Times New Roman" w:hAnsi="Times New Roman"/>
                <w:sz w:val="28"/>
              </w:rPr>
              <w:t>МУ «Централизованная бухгалтерия»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2069" w:type="dxa"/>
          </w:tcPr>
          <w:p w:rsidR="00152660" w:rsidRDefault="00C37603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33 068,6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32 958,6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33 948,1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679"/>
        <w:gridCol w:w="1901"/>
        <w:gridCol w:w="2028"/>
        <w:gridCol w:w="1902"/>
        <w:gridCol w:w="2282"/>
        <w:gridCol w:w="2190"/>
      </w:tblGrid>
      <w:tr w:rsidR="008A6129" w:rsidTr="00A36066">
        <w:tc>
          <w:tcPr>
            <w:tcW w:w="2230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982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8A6129" w:rsidTr="00A36066">
        <w:tc>
          <w:tcPr>
            <w:tcW w:w="2230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7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01" w:type="dxa"/>
          </w:tcPr>
          <w:p w:rsidR="009229CA" w:rsidRPr="003A32B9" w:rsidRDefault="00111208" w:rsidP="00FB2C7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28" w:type="dxa"/>
          </w:tcPr>
          <w:p w:rsidR="009229CA" w:rsidRPr="00970DE0" w:rsidRDefault="00970DE0" w:rsidP="00FB2C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902" w:type="dxa"/>
          </w:tcPr>
          <w:p w:rsidR="009229CA" w:rsidRDefault="00015EAC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140 560,4</w:t>
            </w:r>
          </w:p>
        </w:tc>
        <w:tc>
          <w:tcPr>
            <w:tcW w:w="2282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141 992,3</w:t>
            </w:r>
          </w:p>
        </w:tc>
        <w:tc>
          <w:tcPr>
            <w:tcW w:w="2190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901" w:type="dxa"/>
          </w:tcPr>
          <w:p w:rsidR="009229CA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2028" w:type="dxa"/>
          </w:tcPr>
          <w:p w:rsidR="009229CA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902" w:type="dxa"/>
          </w:tcPr>
          <w:p w:rsidR="009229CA" w:rsidRDefault="003D4A4B" w:rsidP="008767C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8767CF">
              <w:rPr>
                <w:rFonts w:ascii="Times New Roman" w:hAnsi="Times New Roman"/>
                <w:sz w:val="28"/>
              </w:rPr>
              <w:t>27 744,1</w:t>
            </w:r>
          </w:p>
        </w:tc>
        <w:tc>
          <w:tcPr>
            <w:tcW w:w="2282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129 214,2</w:t>
            </w:r>
          </w:p>
        </w:tc>
        <w:tc>
          <w:tcPr>
            <w:tcW w:w="2190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131 427,1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679" w:type="dxa"/>
          </w:tcPr>
          <w:p w:rsidR="008A6129" w:rsidRPr="003E0E4E" w:rsidRDefault="00703451" w:rsidP="0070345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901" w:type="dxa"/>
          </w:tcPr>
          <w:p w:rsidR="008A6129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2028" w:type="dxa"/>
          </w:tcPr>
          <w:p w:rsidR="008A6129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679" w:type="dxa"/>
          </w:tcPr>
          <w:p w:rsidR="008A6129" w:rsidRPr="003E0E4E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901" w:type="dxa"/>
          </w:tcPr>
          <w:p w:rsidR="008A6129" w:rsidRPr="003A32B9" w:rsidRDefault="003E0E4E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2028" w:type="dxa"/>
          </w:tcPr>
          <w:p w:rsidR="008A6129" w:rsidRPr="003E0E4E" w:rsidRDefault="001A7F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="00066CFA"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8A6129" w:rsidRPr="003E0E4E" w:rsidRDefault="000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2282" w:type="dxa"/>
          </w:tcPr>
          <w:p w:rsidR="008A6129" w:rsidRDefault="001A7F88" w:rsidP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015EAC">
              <w:rPr>
                <w:rFonts w:ascii="Times New Roman" w:hAnsi="Times New Roman"/>
                <w:sz w:val="28"/>
              </w:rPr>
              <w:t> 438,7</w:t>
            </w:r>
          </w:p>
        </w:tc>
        <w:tc>
          <w:tcPr>
            <w:tcW w:w="2190" w:type="dxa"/>
          </w:tcPr>
          <w:p w:rsidR="008A6129" w:rsidRDefault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5 623,5</w:t>
            </w:r>
          </w:p>
        </w:tc>
      </w:tr>
      <w:tr w:rsidR="00A36066" w:rsidTr="00A36066">
        <w:tc>
          <w:tcPr>
            <w:tcW w:w="2230" w:type="dxa"/>
          </w:tcPr>
          <w:p w:rsidR="00A36066" w:rsidRDefault="00A36066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679" w:type="dxa"/>
          </w:tcPr>
          <w:p w:rsidR="00A36066" w:rsidRPr="003E0E4E" w:rsidRDefault="00A360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A36066" w:rsidRPr="003A32B9" w:rsidRDefault="00A36066" w:rsidP="00A3606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77B22" w:rsidTr="00A36066">
        <w:tc>
          <w:tcPr>
            <w:tcW w:w="2230" w:type="dxa"/>
          </w:tcPr>
          <w:p w:rsidR="00377B22" w:rsidRDefault="00377B22" w:rsidP="00377B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679" w:type="dxa"/>
          </w:tcPr>
          <w:p w:rsidR="00377B22" w:rsidRPr="003E0E4E" w:rsidRDefault="00377B22" w:rsidP="00377B22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901" w:type="dxa"/>
          </w:tcPr>
          <w:p w:rsidR="00377B22" w:rsidRPr="003A32B9" w:rsidRDefault="00377B22" w:rsidP="00377B22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2028" w:type="dxa"/>
          </w:tcPr>
          <w:p w:rsidR="00377B22" w:rsidRPr="00970DE0" w:rsidRDefault="00377B22" w:rsidP="00377B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902" w:type="dxa"/>
          </w:tcPr>
          <w:p w:rsidR="00377B22" w:rsidRDefault="00377B22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282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190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67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135" w:type="dxa"/>
        <w:tblLayout w:type="fixed"/>
        <w:tblLook w:val="04A0"/>
      </w:tblPr>
      <w:tblGrid>
        <w:gridCol w:w="885"/>
        <w:gridCol w:w="2219"/>
        <w:gridCol w:w="2262"/>
        <w:gridCol w:w="979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262" w:type="dxa"/>
            <w:vMerge w:val="restart"/>
          </w:tcPr>
          <w:p w:rsidR="008A6129" w:rsidRDefault="00B52749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7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 измерения</w:t>
            </w:r>
          </w:p>
        </w:tc>
        <w:tc>
          <w:tcPr>
            <w:tcW w:w="8790" w:type="dxa"/>
            <w:gridSpan w:val="8"/>
          </w:tcPr>
          <w:p w:rsidR="008A6129" w:rsidRDefault="00CD6D39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бюджета района не ниже уровня инфляции за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счет мероприятий по легализации налогооблагаемой базы, сокращению задолженности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(без учета поступлений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соответствия </w:t>
            </w:r>
            <w:r>
              <w:rPr>
                <w:rFonts w:ascii="Times New Roman" w:hAnsi="Times New Roman"/>
                <w:sz w:val="28"/>
              </w:rPr>
              <w:lastRenderedPageBreak/>
              <w:t>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3.1. отношение расходов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</w:t>
            </w:r>
            <w:r>
              <w:rPr>
                <w:rFonts w:ascii="Times New Roman" w:hAnsi="Times New Roman"/>
                <w:sz w:val="28"/>
              </w:rPr>
              <w:lastRenderedPageBreak/>
              <w:t>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межбюджетных отношений с поселениями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создание условий для  поддержания устойчивого исполнения местных бюджетов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5.1.дифференциация поселений района по уровню бюджетной обеспеченности </w:t>
            </w:r>
            <w:r>
              <w:rPr>
                <w:rFonts w:ascii="Times New Roman" w:hAnsi="Times New Roman"/>
                <w:sz w:val="28"/>
              </w:rPr>
              <w:lastRenderedPageBreak/>
              <w:t>после их выравнивания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2" w:type="dxa"/>
          </w:tcPr>
          <w:p w:rsidR="008A6129" w:rsidRDefault="00066CFA" w:rsidP="008F10D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</w:t>
            </w:r>
            <w:r>
              <w:rPr>
                <w:rFonts w:ascii="Times New Roman" w:hAnsi="Times New Roman"/>
                <w:sz w:val="28"/>
              </w:rPr>
              <w:lastRenderedPageBreak/>
              <w:t>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на 1 </w:t>
            </w:r>
            <w:r>
              <w:rPr>
                <w:rFonts w:ascii="Times New Roman" w:hAnsi="Times New Roman"/>
                <w:sz w:val="28"/>
              </w:rPr>
              <w:lastRenderedPageBreak/>
              <w:t>января года, следующего за отчетным</w:t>
            </w:r>
          </w:p>
        </w:tc>
        <w:tc>
          <w:tcPr>
            <w:tcW w:w="979" w:type="dxa"/>
          </w:tcPr>
          <w:p w:rsidR="008A6129" w:rsidRDefault="00424141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Рубли</w:t>
            </w:r>
            <w:r w:rsidR="00066CFA">
              <w:rPr>
                <w:rFonts w:ascii="Times New Roman" w:hAnsi="Times New Roman"/>
                <w:sz w:val="28"/>
              </w:rPr>
              <w:t>коп</w:t>
            </w:r>
            <w:proofErr w:type="spellEnd"/>
            <w:r w:rsidR="00066C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49"/>
        <w:gridCol w:w="4769"/>
        <w:gridCol w:w="2926"/>
        <w:gridCol w:w="3087"/>
        <w:gridCol w:w="2955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 xml:space="preserve">, фактически сложившийся в </w:t>
            </w:r>
            <w:r>
              <w:rPr>
                <w:rFonts w:ascii="Times New Roman" w:hAnsi="Times New Roman"/>
                <w:sz w:val="28"/>
              </w:rPr>
              <w:lastRenderedPageBreak/>
              <w:t>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</w:t>
            </w:r>
            <w:r>
              <w:rPr>
                <w:rFonts w:ascii="Times New Roman" w:hAnsi="Times New Roman"/>
                <w:sz w:val="28"/>
              </w:rPr>
              <w:lastRenderedPageBreak/>
              <w:t>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</w:t>
            </w:r>
            <w:r>
              <w:rPr>
                <w:rFonts w:ascii="Times New Roman" w:hAnsi="Times New Roman"/>
                <w:sz w:val="28"/>
              </w:rPr>
              <w:lastRenderedPageBreak/>
              <w:t>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сети «Интернет», актуализированная на отчетную дату;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Сайт района cherra.ru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1.2 Поддержка мер по обеспечению сбалансированности </w:t>
            </w:r>
            <w:r>
              <w:rPr>
                <w:rFonts w:ascii="Times New Roman" w:hAnsi="Times New Roman"/>
                <w:sz w:val="28"/>
              </w:rPr>
              <w:lastRenderedPageBreak/>
              <w:t>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</w:t>
            </w:r>
            <w:r>
              <w:rPr>
                <w:rFonts w:ascii="Times New Roman" w:hAnsi="Times New Roman"/>
                <w:sz w:val="28"/>
              </w:rPr>
              <w:lastRenderedPageBreak/>
              <w:t>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 xml:space="preserve">Ответственный исполнитель (структурное подразделение, орган администрации, </w:t>
            </w:r>
            <w:r w:rsidRPr="00EB7ACC">
              <w:rPr>
                <w:rFonts w:ascii="Times New Roman" w:hAnsi="Times New Roman"/>
                <w:sz w:val="28"/>
              </w:rPr>
              <w:lastRenderedPageBreak/>
              <w:t>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Основное мероприятие 1.4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МУ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</w:t>
            </w:r>
            <w:r>
              <w:rPr>
                <w:rFonts w:ascii="Times New Roman" w:hAnsi="Times New Roman"/>
                <w:sz w:val="28"/>
              </w:rPr>
              <w:lastRenderedPageBreak/>
              <w:t>обеспеченности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36 141,4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58 226,6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13 123,8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33 068,6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Pr="00180DEC" w:rsidRDefault="00FF04E4" w:rsidP="003A32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140 560,4</w:t>
            </w:r>
            <w:bookmarkStart w:id="0" w:name="_GoBack"/>
            <w:bookmarkEnd w:id="0"/>
          </w:p>
        </w:tc>
      </w:tr>
    </w:tbl>
    <w:p w:rsidR="00F37758" w:rsidRDefault="00F37758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68579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на пределами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Межрайонной </w:t>
            </w:r>
            <w:r w:rsidR="00685799">
              <w:rPr>
                <w:rFonts w:ascii="Times New Roman" w:hAnsi="Times New Roman"/>
                <w:sz w:val="28"/>
              </w:rPr>
              <w:t>ИФНС № 8 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Межрайонной ИФНС России № 8 по Вологодской области на предприятия и организации города Череповца и Череповецкого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совместных рейдов по сокращению задолженности с Межрайонной ИФНС России № 8 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проведение совместных рейдов по выявлению неформальной занятости с Межрайонной ИФНС России № 8 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координация работы администраций сельских поселений, улучшение их взаимодействия с Межрайонной ИФНС России № 8 по Вологодской области,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разъяснительной работы с предпринимателями совместно с Межрайонной ИФНС России № 8 по Вологодской области по выбору оптимальной системы налогообложения;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контроль за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совершенствование порядка санкционирования бюджетных расходов и взаимодействия с ГКУ ВО «Областное казначейство»;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проверка соглашений с органами исполнительной власти области и органами местного самоуправления сельских поселений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9B136B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AD" w:rsidRDefault="00A63EAD" w:rsidP="00424141">
      <w:pPr>
        <w:spacing w:after="0" w:line="240" w:lineRule="auto"/>
      </w:pPr>
      <w:r>
        <w:separator/>
      </w:r>
    </w:p>
  </w:endnote>
  <w:endnote w:type="continuationSeparator" w:id="0">
    <w:p w:rsidR="00A63EAD" w:rsidRDefault="00A63EAD" w:rsidP="0042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AD" w:rsidRDefault="00A63EAD" w:rsidP="00424141">
      <w:pPr>
        <w:spacing w:after="0" w:line="240" w:lineRule="auto"/>
      </w:pPr>
      <w:r>
        <w:separator/>
      </w:r>
    </w:p>
  </w:footnote>
  <w:footnote w:type="continuationSeparator" w:id="0">
    <w:p w:rsidR="00A63EAD" w:rsidRDefault="00A63EAD" w:rsidP="0042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6810"/>
      <w:docPartObj>
        <w:docPartGallery w:val="Page Numbers (Top of Page)"/>
        <w:docPartUnique/>
      </w:docPartObj>
    </w:sdtPr>
    <w:sdtContent>
      <w:p w:rsidR="00424141" w:rsidRDefault="00424141">
        <w:pPr>
          <w:pStyle w:val="af2"/>
          <w:jc w:val="center"/>
        </w:pPr>
        <w:fldSimple w:instr=" PAGE   \* MERGEFORMAT ">
          <w:r w:rsidR="009E3CA9">
            <w:rPr>
              <w:noProof/>
            </w:rPr>
            <w:t>1</w:t>
          </w:r>
        </w:fldSimple>
      </w:p>
    </w:sdtContent>
  </w:sdt>
  <w:p w:rsidR="00424141" w:rsidRDefault="0042414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6738"/>
    <w:rsid w:val="0005367C"/>
    <w:rsid w:val="00063937"/>
    <w:rsid w:val="00066CFA"/>
    <w:rsid w:val="00071CB3"/>
    <w:rsid w:val="0007369D"/>
    <w:rsid w:val="00096130"/>
    <w:rsid w:val="000A299D"/>
    <w:rsid w:val="000A3FA5"/>
    <w:rsid w:val="000C17FC"/>
    <w:rsid w:val="000C69E1"/>
    <w:rsid w:val="000D0BCA"/>
    <w:rsid w:val="000F6C7D"/>
    <w:rsid w:val="00105594"/>
    <w:rsid w:val="00111208"/>
    <w:rsid w:val="0012058E"/>
    <w:rsid w:val="00126B30"/>
    <w:rsid w:val="00127E0C"/>
    <w:rsid w:val="00152660"/>
    <w:rsid w:val="0015655F"/>
    <w:rsid w:val="00157D9D"/>
    <w:rsid w:val="00176B4B"/>
    <w:rsid w:val="0018015A"/>
    <w:rsid w:val="00180DEC"/>
    <w:rsid w:val="00186485"/>
    <w:rsid w:val="001A7F88"/>
    <w:rsid w:val="001B639B"/>
    <w:rsid w:val="001C36F0"/>
    <w:rsid w:val="00201A64"/>
    <w:rsid w:val="002170BE"/>
    <w:rsid w:val="0023417A"/>
    <w:rsid w:val="00234A39"/>
    <w:rsid w:val="002466A0"/>
    <w:rsid w:val="0026506E"/>
    <w:rsid w:val="002660F8"/>
    <w:rsid w:val="00276235"/>
    <w:rsid w:val="0028063F"/>
    <w:rsid w:val="00280BA0"/>
    <w:rsid w:val="00296035"/>
    <w:rsid w:val="00297393"/>
    <w:rsid w:val="002A2053"/>
    <w:rsid w:val="002B2341"/>
    <w:rsid w:val="002C1569"/>
    <w:rsid w:val="002C46B9"/>
    <w:rsid w:val="002F5823"/>
    <w:rsid w:val="002F61A7"/>
    <w:rsid w:val="00304206"/>
    <w:rsid w:val="00322A36"/>
    <w:rsid w:val="0032614B"/>
    <w:rsid w:val="00353E25"/>
    <w:rsid w:val="00364039"/>
    <w:rsid w:val="003779D8"/>
    <w:rsid w:val="00377B22"/>
    <w:rsid w:val="003A32B9"/>
    <w:rsid w:val="003A35BA"/>
    <w:rsid w:val="003A4312"/>
    <w:rsid w:val="003C7E0C"/>
    <w:rsid w:val="003D301B"/>
    <w:rsid w:val="003D3F5A"/>
    <w:rsid w:val="003D4A4B"/>
    <w:rsid w:val="003D5B5E"/>
    <w:rsid w:val="003E0E4E"/>
    <w:rsid w:val="003F3C9A"/>
    <w:rsid w:val="004116D8"/>
    <w:rsid w:val="00424141"/>
    <w:rsid w:val="00452E0E"/>
    <w:rsid w:val="00457E02"/>
    <w:rsid w:val="004705DE"/>
    <w:rsid w:val="00496BA3"/>
    <w:rsid w:val="004D69CD"/>
    <w:rsid w:val="004E5F2D"/>
    <w:rsid w:val="004F1689"/>
    <w:rsid w:val="00522F6D"/>
    <w:rsid w:val="00531191"/>
    <w:rsid w:val="00533503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601B83"/>
    <w:rsid w:val="006228E0"/>
    <w:rsid w:val="0065739B"/>
    <w:rsid w:val="00657DFD"/>
    <w:rsid w:val="006614AF"/>
    <w:rsid w:val="0067416F"/>
    <w:rsid w:val="00685799"/>
    <w:rsid w:val="00697F0E"/>
    <w:rsid w:val="006A1AC8"/>
    <w:rsid w:val="006E5E8D"/>
    <w:rsid w:val="006E6658"/>
    <w:rsid w:val="006F574C"/>
    <w:rsid w:val="007009B5"/>
    <w:rsid w:val="00703451"/>
    <w:rsid w:val="007249E5"/>
    <w:rsid w:val="007321D3"/>
    <w:rsid w:val="00741822"/>
    <w:rsid w:val="00742672"/>
    <w:rsid w:val="00750B65"/>
    <w:rsid w:val="007637EE"/>
    <w:rsid w:val="00765E5F"/>
    <w:rsid w:val="00773537"/>
    <w:rsid w:val="00776789"/>
    <w:rsid w:val="00780BD9"/>
    <w:rsid w:val="00781361"/>
    <w:rsid w:val="0078354F"/>
    <w:rsid w:val="00783927"/>
    <w:rsid w:val="00784107"/>
    <w:rsid w:val="00793D03"/>
    <w:rsid w:val="007B2470"/>
    <w:rsid w:val="007C37C9"/>
    <w:rsid w:val="007C59B9"/>
    <w:rsid w:val="007E2784"/>
    <w:rsid w:val="007E6D2F"/>
    <w:rsid w:val="007E6EA9"/>
    <w:rsid w:val="007F4381"/>
    <w:rsid w:val="007F51B9"/>
    <w:rsid w:val="0080327E"/>
    <w:rsid w:val="0082003B"/>
    <w:rsid w:val="008217DD"/>
    <w:rsid w:val="008406AF"/>
    <w:rsid w:val="00855DAA"/>
    <w:rsid w:val="00857A6C"/>
    <w:rsid w:val="008721C5"/>
    <w:rsid w:val="008767CF"/>
    <w:rsid w:val="00882A88"/>
    <w:rsid w:val="00886EDA"/>
    <w:rsid w:val="00892C90"/>
    <w:rsid w:val="008A6129"/>
    <w:rsid w:val="008B3A12"/>
    <w:rsid w:val="008C68D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6656"/>
    <w:rsid w:val="00967FE6"/>
    <w:rsid w:val="00970DE0"/>
    <w:rsid w:val="009852B6"/>
    <w:rsid w:val="00996A25"/>
    <w:rsid w:val="009B136B"/>
    <w:rsid w:val="009B1BD6"/>
    <w:rsid w:val="009D1E57"/>
    <w:rsid w:val="009D52C0"/>
    <w:rsid w:val="009D6FC8"/>
    <w:rsid w:val="009D78CF"/>
    <w:rsid w:val="009E3CA9"/>
    <w:rsid w:val="009F732D"/>
    <w:rsid w:val="00A05433"/>
    <w:rsid w:val="00A23126"/>
    <w:rsid w:val="00A34EC6"/>
    <w:rsid w:val="00A35AF7"/>
    <w:rsid w:val="00A36066"/>
    <w:rsid w:val="00A46BD2"/>
    <w:rsid w:val="00A46DFE"/>
    <w:rsid w:val="00A53282"/>
    <w:rsid w:val="00A5400F"/>
    <w:rsid w:val="00A63EAD"/>
    <w:rsid w:val="00A65D1C"/>
    <w:rsid w:val="00A66AC4"/>
    <w:rsid w:val="00A978C0"/>
    <w:rsid w:val="00AB228A"/>
    <w:rsid w:val="00AC7488"/>
    <w:rsid w:val="00AF52E9"/>
    <w:rsid w:val="00B4533F"/>
    <w:rsid w:val="00B52749"/>
    <w:rsid w:val="00B528D6"/>
    <w:rsid w:val="00B55146"/>
    <w:rsid w:val="00B81E2F"/>
    <w:rsid w:val="00B8266B"/>
    <w:rsid w:val="00BA55D7"/>
    <w:rsid w:val="00BD1F42"/>
    <w:rsid w:val="00BD6731"/>
    <w:rsid w:val="00BF6E96"/>
    <w:rsid w:val="00C124D6"/>
    <w:rsid w:val="00C37603"/>
    <w:rsid w:val="00C44BAD"/>
    <w:rsid w:val="00C7156F"/>
    <w:rsid w:val="00C8312C"/>
    <w:rsid w:val="00C90872"/>
    <w:rsid w:val="00CA355F"/>
    <w:rsid w:val="00CA39F7"/>
    <w:rsid w:val="00CA43D6"/>
    <w:rsid w:val="00CB48D1"/>
    <w:rsid w:val="00CC6461"/>
    <w:rsid w:val="00CD3F24"/>
    <w:rsid w:val="00CD57E9"/>
    <w:rsid w:val="00CD6D39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59D5"/>
    <w:rsid w:val="00D85469"/>
    <w:rsid w:val="00D94525"/>
    <w:rsid w:val="00DB2936"/>
    <w:rsid w:val="00DB54CA"/>
    <w:rsid w:val="00DB68D4"/>
    <w:rsid w:val="00DD5FE6"/>
    <w:rsid w:val="00DE5595"/>
    <w:rsid w:val="00DF3470"/>
    <w:rsid w:val="00DF5E11"/>
    <w:rsid w:val="00E02FEC"/>
    <w:rsid w:val="00E03745"/>
    <w:rsid w:val="00E23EBA"/>
    <w:rsid w:val="00E30524"/>
    <w:rsid w:val="00E44370"/>
    <w:rsid w:val="00E71378"/>
    <w:rsid w:val="00E812D8"/>
    <w:rsid w:val="00E81F7A"/>
    <w:rsid w:val="00E84BBC"/>
    <w:rsid w:val="00E94008"/>
    <w:rsid w:val="00E95CEB"/>
    <w:rsid w:val="00EA4DA3"/>
    <w:rsid w:val="00EB7ACC"/>
    <w:rsid w:val="00EC79D7"/>
    <w:rsid w:val="00F01106"/>
    <w:rsid w:val="00F1189B"/>
    <w:rsid w:val="00F12D93"/>
    <w:rsid w:val="00F3072C"/>
    <w:rsid w:val="00F37758"/>
    <w:rsid w:val="00F660E5"/>
    <w:rsid w:val="00F70E7A"/>
    <w:rsid w:val="00F8607B"/>
    <w:rsid w:val="00F86351"/>
    <w:rsid w:val="00FA32A0"/>
    <w:rsid w:val="00FB2C76"/>
    <w:rsid w:val="00FD09C4"/>
    <w:rsid w:val="00FD2A0C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1">
    <w:name w:val="heading 1"/>
    <w:basedOn w:val="a"/>
    <w:next w:val="a"/>
    <w:link w:val="10"/>
    <w:qFormat/>
    <w:rsid w:val="0042414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136B"/>
    <w:pPr>
      <w:widowControl w:val="0"/>
      <w:spacing w:after="0" w:line="240" w:lineRule="auto"/>
    </w:pPr>
  </w:style>
  <w:style w:type="paragraph" w:customStyle="1" w:styleId="ConsPlusNormal">
    <w:name w:val="ConsPlusNormal"/>
    <w:rsid w:val="009B136B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9B136B"/>
    <w:pPr>
      <w:ind w:left="720"/>
      <w:contextualSpacing/>
    </w:pPr>
  </w:style>
  <w:style w:type="paragraph" w:customStyle="1" w:styleId="a4">
    <w:name w:val="Мой стиль"/>
    <w:basedOn w:val="a"/>
    <w:rsid w:val="009B136B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9B136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9B136B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9B136B"/>
    <w:pPr>
      <w:spacing w:after="0" w:line="240" w:lineRule="auto"/>
    </w:pPr>
    <w:rPr>
      <w:rFonts w:ascii="Tahoma" w:hAnsi="Tahoma"/>
      <w:sz w:val="16"/>
    </w:rPr>
  </w:style>
  <w:style w:type="paragraph" w:customStyle="1" w:styleId="11">
    <w:name w:val="Абзац списка1"/>
    <w:basedOn w:val="a"/>
    <w:rsid w:val="009B136B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9B136B"/>
  </w:style>
  <w:style w:type="character" w:styleId="ab">
    <w:name w:val="Hyperlink"/>
    <w:basedOn w:val="a0"/>
    <w:rsid w:val="009B136B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9B136B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9B136B"/>
    <w:rPr>
      <w:rFonts w:ascii="Tahoma" w:hAnsi="Tahoma"/>
      <w:sz w:val="16"/>
    </w:rPr>
  </w:style>
  <w:style w:type="character" w:customStyle="1" w:styleId="h3">
    <w:name w:val="h3"/>
    <w:basedOn w:val="a0"/>
    <w:rsid w:val="009B136B"/>
  </w:style>
  <w:style w:type="table" w:styleId="12">
    <w:name w:val="Table Simple 1"/>
    <w:basedOn w:val="a1"/>
    <w:rsid w:val="009B1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9B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9B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10">
    <w:name w:val="Заголовок 1 Знак"/>
    <w:basedOn w:val="a0"/>
    <w:link w:val="1"/>
    <w:rsid w:val="00424141"/>
    <w:rPr>
      <w:rFonts w:ascii="Times New Roman" w:hAnsi="Times New Roman"/>
      <w:b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424141"/>
    <w:rPr>
      <w:rFonts w:ascii="Cambria" w:hAnsi="Cambria"/>
      <w:b/>
      <w:bCs/>
      <w:color w:val="4F81BD"/>
      <w:szCs w:val="22"/>
    </w:rPr>
  </w:style>
  <w:style w:type="paragraph" w:styleId="af2">
    <w:name w:val="header"/>
    <w:basedOn w:val="a"/>
    <w:link w:val="af3"/>
    <w:uiPriority w:val="99"/>
    <w:unhideWhenUsed/>
    <w:rsid w:val="0042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24141"/>
  </w:style>
  <w:style w:type="paragraph" w:styleId="af4">
    <w:name w:val="footer"/>
    <w:basedOn w:val="a"/>
    <w:link w:val="af5"/>
    <w:uiPriority w:val="99"/>
    <w:semiHidden/>
    <w:unhideWhenUsed/>
    <w:rsid w:val="0042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24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59F6-FA96-43F6-B8E6-3416853E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46</cp:revision>
  <cp:lastPrinted>2023-01-17T12:24:00Z</cp:lastPrinted>
  <dcterms:created xsi:type="dcterms:W3CDTF">2022-10-12T05:12:00Z</dcterms:created>
  <dcterms:modified xsi:type="dcterms:W3CDTF">2023-01-17T12:25:00Z</dcterms:modified>
</cp:coreProperties>
</file>